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96BB" w14:textId="77777777" w:rsidR="005D43A4" w:rsidRPr="00EC5C7B" w:rsidRDefault="005D43A4" w:rsidP="00692C42">
      <w:pPr>
        <w:spacing w:after="240"/>
        <w:ind w:right="-330"/>
        <w:rPr>
          <w:rFonts w:cstheme="minorHAnsi"/>
          <w:b/>
          <w:sz w:val="24"/>
          <w:szCs w:val="24"/>
        </w:rPr>
      </w:pPr>
      <w:r w:rsidRPr="00EC5C7B">
        <w:rPr>
          <w:rFonts w:cstheme="minorHAnsi"/>
          <w:b/>
          <w:sz w:val="24"/>
          <w:szCs w:val="24"/>
        </w:rPr>
        <w:t xml:space="preserve">Changing the BDMRRA so it is fair for everyone, based on the existing passports policy </w:t>
      </w:r>
    </w:p>
    <w:p w14:paraId="4B86674A" w14:textId="77777777" w:rsidR="005D43A4" w:rsidRPr="00EC5C7B" w:rsidRDefault="005D43A4" w:rsidP="00457E21">
      <w:pPr>
        <w:spacing w:after="120" w:line="252" w:lineRule="auto"/>
        <w:ind w:right="-330"/>
        <w:rPr>
          <w:rFonts w:cstheme="minorHAnsi"/>
          <w:i/>
          <w:sz w:val="24"/>
          <w:szCs w:val="24"/>
        </w:rPr>
      </w:pPr>
      <w:r w:rsidRPr="00EC5C7B">
        <w:rPr>
          <w:rFonts w:cstheme="minorHAnsi"/>
          <w:i/>
          <w:sz w:val="24"/>
          <w:szCs w:val="24"/>
        </w:rPr>
        <w:t>Introduction</w:t>
      </w:r>
    </w:p>
    <w:p w14:paraId="7E35562C" w14:textId="49C2DA60" w:rsidR="005D43A4" w:rsidRPr="00EC5C7B" w:rsidRDefault="005D43A4" w:rsidP="00457E21">
      <w:pPr>
        <w:spacing w:after="120" w:line="252" w:lineRule="auto"/>
        <w:ind w:right="-329"/>
        <w:rPr>
          <w:rFonts w:cstheme="minorHAnsi"/>
          <w:sz w:val="24"/>
          <w:szCs w:val="24"/>
        </w:rPr>
      </w:pPr>
      <w:r w:rsidRPr="00EC5C7B">
        <w:rPr>
          <w:rFonts w:cstheme="minorHAnsi"/>
          <w:sz w:val="24"/>
          <w:szCs w:val="24"/>
        </w:rPr>
        <w:t xml:space="preserve">This statement </w:t>
      </w:r>
      <w:r w:rsidR="00150503">
        <w:rPr>
          <w:rFonts w:cstheme="minorHAnsi"/>
          <w:sz w:val="24"/>
          <w:szCs w:val="24"/>
        </w:rPr>
        <w:t xml:space="preserve">was drafted by </w:t>
      </w:r>
      <w:proofErr w:type="spellStart"/>
      <w:r w:rsidR="007E02AC">
        <w:rPr>
          <w:rFonts w:cstheme="minorHAnsi"/>
          <w:sz w:val="24"/>
          <w:szCs w:val="24"/>
        </w:rPr>
        <w:t>takatāpui</w:t>
      </w:r>
      <w:proofErr w:type="spellEnd"/>
      <w:r w:rsidR="00425F44">
        <w:rPr>
          <w:rFonts w:cstheme="minorHAnsi"/>
          <w:sz w:val="24"/>
          <w:szCs w:val="24"/>
        </w:rPr>
        <w:t xml:space="preserve">, </w:t>
      </w:r>
      <w:r w:rsidR="007E02AC">
        <w:rPr>
          <w:rFonts w:cstheme="minorHAnsi"/>
          <w:sz w:val="24"/>
          <w:szCs w:val="24"/>
        </w:rPr>
        <w:t>trans and non-binary pe</w:t>
      </w:r>
      <w:r w:rsidRPr="00EC5C7B">
        <w:rPr>
          <w:rFonts w:cstheme="minorHAnsi"/>
          <w:sz w:val="24"/>
          <w:szCs w:val="24"/>
        </w:rPr>
        <w:t>ople and organisations in Aotearoa New Zealand</w:t>
      </w:r>
      <w:r w:rsidR="008D2413">
        <w:rPr>
          <w:rFonts w:cstheme="minorHAnsi"/>
          <w:sz w:val="24"/>
          <w:szCs w:val="24"/>
        </w:rPr>
        <w:t>.</w:t>
      </w:r>
      <w:r w:rsidR="001E4604">
        <w:rPr>
          <w:rStyle w:val="FootnoteReference"/>
          <w:rFonts w:cstheme="minorHAnsi"/>
          <w:sz w:val="24"/>
          <w:szCs w:val="24"/>
        </w:rPr>
        <w:footnoteReference w:id="1"/>
      </w:r>
      <w:r w:rsidR="008D2413">
        <w:rPr>
          <w:rFonts w:cstheme="minorHAnsi"/>
          <w:sz w:val="24"/>
          <w:szCs w:val="24"/>
        </w:rPr>
        <w:t xml:space="preserve"> </w:t>
      </w:r>
      <w:r w:rsidR="0043120A">
        <w:rPr>
          <w:rFonts w:cstheme="minorHAnsi"/>
          <w:sz w:val="24"/>
          <w:szCs w:val="24"/>
        </w:rPr>
        <w:t xml:space="preserve">It </w:t>
      </w:r>
      <w:r w:rsidRPr="00EC5C7B">
        <w:rPr>
          <w:rFonts w:cstheme="minorHAnsi"/>
          <w:sz w:val="24"/>
          <w:szCs w:val="24"/>
        </w:rPr>
        <w:t xml:space="preserve">explains why it is so important that the Births, Deaths, Marriages and Relationships Registration Act (BDMRRA) 1995 </w:t>
      </w:r>
      <w:r w:rsidR="00E23468">
        <w:rPr>
          <w:rFonts w:cstheme="minorHAnsi"/>
          <w:sz w:val="24"/>
          <w:szCs w:val="24"/>
        </w:rPr>
        <w:t xml:space="preserve">is </w:t>
      </w:r>
      <w:r w:rsidRPr="00EC5C7B">
        <w:rPr>
          <w:rFonts w:cstheme="minorHAnsi"/>
          <w:sz w:val="24"/>
          <w:szCs w:val="24"/>
        </w:rPr>
        <w:t>amended</w:t>
      </w:r>
      <w:r w:rsidR="00E23468">
        <w:rPr>
          <w:rFonts w:cstheme="minorHAnsi"/>
          <w:sz w:val="24"/>
          <w:szCs w:val="24"/>
        </w:rPr>
        <w:t>,</w:t>
      </w:r>
      <w:r w:rsidR="004C3B79">
        <w:rPr>
          <w:rStyle w:val="FootnoteReference"/>
          <w:rFonts w:cstheme="minorHAnsi"/>
          <w:sz w:val="24"/>
          <w:szCs w:val="24"/>
        </w:rPr>
        <w:footnoteReference w:id="2"/>
      </w:r>
      <w:r w:rsidR="00E23468">
        <w:rPr>
          <w:rFonts w:cstheme="minorHAnsi"/>
          <w:sz w:val="24"/>
          <w:szCs w:val="24"/>
        </w:rPr>
        <w:t xml:space="preserve"> to </w:t>
      </w:r>
      <w:r w:rsidRPr="00EC5C7B">
        <w:rPr>
          <w:rFonts w:cstheme="minorHAnsi"/>
          <w:sz w:val="24"/>
          <w:szCs w:val="24"/>
        </w:rPr>
        <w:t>bring the process for changing gender markers on birth certificates in line with the existing administrative process used for passports and driver licence records</w:t>
      </w:r>
      <w:r w:rsidR="00E23468">
        <w:rPr>
          <w:rFonts w:cstheme="minorHAnsi"/>
          <w:sz w:val="24"/>
          <w:szCs w:val="24"/>
        </w:rPr>
        <w:t xml:space="preserve">. </w:t>
      </w:r>
      <w:r w:rsidR="00F1276D">
        <w:rPr>
          <w:rFonts w:cstheme="minorHAnsi"/>
          <w:sz w:val="24"/>
          <w:szCs w:val="24"/>
        </w:rPr>
        <w:t>This proposed</w:t>
      </w:r>
      <w:r w:rsidR="00E23468">
        <w:rPr>
          <w:rFonts w:cstheme="minorHAnsi"/>
          <w:sz w:val="24"/>
          <w:szCs w:val="24"/>
        </w:rPr>
        <w:t xml:space="preserve"> </w:t>
      </w:r>
      <w:r w:rsidR="001A2EBB">
        <w:rPr>
          <w:rFonts w:cstheme="minorHAnsi"/>
          <w:sz w:val="24"/>
          <w:szCs w:val="24"/>
        </w:rPr>
        <w:t xml:space="preserve">change would </w:t>
      </w:r>
      <w:r w:rsidRPr="00EC5C7B">
        <w:rPr>
          <w:rFonts w:cstheme="minorHAnsi"/>
          <w:sz w:val="24"/>
          <w:szCs w:val="24"/>
        </w:rPr>
        <w:t xml:space="preserve">require </w:t>
      </w:r>
      <w:proofErr w:type="spellStart"/>
      <w:r w:rsidR="00E35BB8">
        <w:rPr>
          <w:rFonts w:cstheme="minorHAnsi"/>
          <w:sz w:val="24"/>
          <w:szCs w:val="24"/>
        </w:rPr>
        <w:t>takatāpui</w:t>
      </w:r>
      <w:proofErr w:type="spellEnd"/>
      <w:r w:rsidR="00425F44">
        <w:rPr>
          <w:rFonts w:cstheme="minorHAnsi"/>
          <w:sz w:val="24"/>
          <w:szCs w:val="24"/>
        </w:rPr>
        <w:t>, trans and non-binary</w:t>
      </w:r>
      <w:r w:rsidR="00807EED">
        <w:rPr>
          <w:rFonts w:cstheme="minorHAnsi"/>
          <w:sz w:val="24"/>
          <w:szCs w:val="24"/>
        </w:rPr>
        <w:t xml:space="preserve"> people </w:t>
      </w:r>
      <w:r w:rsidRPr="00EC5C7B">
        <w:rPr>
          <w:rFonts w:cstheme="minorHAnsi"/>
          <w:sz w:val="24"/>
          <w:szCs w:val="24"/>
        </w:rPr>
        <w:t>to sign a legally binding statutory declaration stating their self-defined gender.</w:t>
      </w:r>
      <w:r w:rsidR="00E00EEC">
        <w:rPr>
          <w:rStyle w:val="FootnoteReference"/>
          <w:rFonts w:cstheme="minorHAnsi"/>
          <w:sz w:val="24"/>
          <w:szCs w:val="24"/>
        </w:rPr>
        <w:footnoteReference w:id="3"/>
      </w:r>
    </w:p>
    <w:p w14:paraId="5F37E373" w14:textId="77777777" w:rsidR="005D43A4" w:rsidRPr="00EC5C7B" w:rsidRDefault="005D43A4" w:rsidP="00457E21">
      <w:pPr>
        <w:spacing w:after="120" w:line="252" w:lineRule="auto"/>
        <w:ind w:right="-330"/>
        <w:rPr>
          <w:rFonts w:cstheme="minorHAnsi"/>
          <w:i/>
          <w:sz w:val="24"/>
          <w:szCs w:val="24"/>
        </w:rPr>
      </w:pPr>
      <w:r w:rsidRPr="00EC5C7B">
        <w:rPr>
          <w:rFonts w:cstheme="minorHAnsi"/>
          <w:i/>
          <w:sz w:val="24"/>
          <w:szCs w:val="24"/>
        </w:rPr>
        <w:t>Impacts of current provisions</w:t>
      </w:r>
    </w:p>
    <w:p w14:paraId="7E1D8A37" w14:textId="77777777" w:rsidR="005D43A4" w:rsidRPr="00EC5C7B" w:rsidRDefault="005D43A4" w:rsidP="0015633C">
      <w:pPr>
        <w:spacing w:after="60" w:line="252" w:lineRule="auto"/>
        <w:ind w:right="-329"/>
        <w:rPr>
          <w:rFonts w:cstheme="minorHAnsi"/>
          <w:sz w:val="24"/>
          <w:szCs w:val="24"/>
        </w:rPr>
      </w:pPr>
      <w:r w:rsidRPr="00EC5C7B">
        <w:rPr>
          <w:rFonts w:cstheme="minorHAnsi"/>
          <w:sz w:val="24"/>
          <w:szCs w:val="24"/>
        </w:rPr>
        <w:t>The current BDMRRA provisions require medical evidence and a Family Court process. This impacts most heavily on those who:</w:t>
      </w:r>
    </w:p>
    <w:p w14:paraId="4E4C5F35" w14:textId="77777777" w:rsidR="005D43A4" w:rsidRPr="00EC5C7B" w:rsidRDefault="005D43A4" w:rsidP="00A7020F">
      <w:pPr>
        <w:pStyle w:val="ListParagraph"/>
        <w:numPr>
          <w:ilvl w:val="0"/>
          <w:numId w:val="1"/>
        </w:numPr>
        <w:spacing w:after="0" w:line="252" w:lineRule="auto"/>
        <w:ind w:left="714" w:right="-329" w:hanging="357"/>
        <w:rPr>
          <w:rFonts w:cstheme="minorHAnsi"/>
          <w:sz w:val="24"/>
          <w:szCs w:val="24"/>
        </w:rPr>
      </w:pPr>
      <w:r w:rsidRPr="00EC5C7B">
        <w:rPr>
          <w:rFonts w:cstheme="minorHAnsi"/>
          <w:sz w:val="24"/>
          <w:szCs w:val="24"/>
        </w:rPr>
        <w:t>do not undertake medical steps as part of their transition (for financial, medical, religious, or other reasons)</w:t>
      </w:r>
    </w:p>
    <w:p w14:paraId="62ED5E93" w14:textId="31C55497" w:rsidR="005D43A4" w:rsidRPr="00EC5C7B" w:rsidRDefault="005D43A4" w:rsidP="00457E21">
      <w:pPr>
        <w:pStyle w:val="ListParagraph"/>
        <w:numPr>
          <w:ilvl w:val="0"/>
          <w:numId w:val="1"/>
        </w:numPr>
        <w:spacing w:line="252" w:lineRule="auto"/>
        <w:ind w:right="-330"/>
        <w:rPr>
          <w:rFonts w:cstheme="minorHAnsi"/>
          <w:sz w:val="24"/>
          <w:szCs w:val="24"/>
        </w:rPr>
      </w:pPr>
      <w:r w:rsidRPr="00EC5C7B">
        <w:rPr>
          <w:rFonts w:cstheme="minorHAnsi"/>
          <w:sz w:val="24"/>
          <w:szCs w:val="24"/>
        </w:rPr>
        <w:t>do not know how to make a formal legal application to the Family Court and/or</w:t>
      </w:r>
    </w:p>
    <w:p w14:paraId="475223F0" w14:textId="77777777" w:rsidR="005D43A4" w:rsidRPr="00EC5C7B" w:rsidRDefault="005D43A4" w:rsidP="00457E21">
      <w:pPr>
        <w:pStyle w:val="ListParagraph"/>
        <w:numPr>
          <w:ilvl w:val="0"/>
          <w:numId w:val="1"/>
        </w:numPr>
        <w:spacing w:after="120" w:line="252" w:lineRule="auto"/>
        <w:ind w:right="-330"/>
        <w:rPr>
          <w:rFonts w:cstheme="minorHAnsi"/>
          <w:sz w:val="24"/>
          <w:szCs w:val="24"/>
        </w:rPr>
      </w:pPr>
      <w:r w:rsidRPr="00EC5C7B">
        <w:rPr>
          <w:rFonts w:cstheme="minorHAnsi"/>
          <w:sz w:val="24"/>
          <w:szCs w:val="24"/>
        </w:rPr>
        <w:t xml:space="preserve">cannot afford to pay a lawyer to apply on their behalf. </w:t>
      </w:r>
    </w:p>
    <w:p w14:paraId="353995AA" w14:textId="77777777" w:rsidR="005D43A4" w:rsidRPr="00EC5C7B" w:rsidRDefault="005D43A4" w:rsidP="00457E21">
      <w:pPr>
        <w:spacing w:after="120" w:line="252" w:lineRule="auto"/>
        <w:ind w:right="-330"/>
        <w:rPr>
          <w:rFonts w:cstheme="minorHAnsi"/>
          <w:sz w:val="24"/>
          <w:szCs w:val="24"/>
        </w:rPr>
      </w:pPr>
      <w:r w:rsidRPr="00EC5C7B">
        <w:rPr>
          <w:rFonts w:cstheme="minorHAnsi"/>
          <w:sz w:val="24"/>
          <w:szCs w:val="24"/>
        </w:rPr>
        <w:t xml:space="preserve">This means that the current process privileges those who are well-off, and those with sufficient formal education and English language skills to make such a Family Court application. It excludes those who are poor or on low-incomes, including a higher proportion of Māori and Pasifika members of our communities. </w:t>
      </w:r>
    </w:p>
    <w:p w14:paraId="7D2F6EAD" w14:textId="4B34FC4B" w:rsidR="005D43A4" w:rsidRPr="00EC5C7B" w:rsidRDefault="005D43A4" w:rsidP="00457E21">
      <w:pPr>
        <w:spacing w:after="120" w:line="252" w:lineRule="auto"/>
        <w:ind w:right="-330"/>
        <w:rPr>
          <w:rFonts w:cstheme="minorHAnsi"/>
          <w:sz w:val="24"/>
          <w:szCs w:val="24"/>
        </w:rPr>
      </w:pPr>
      <w:r w:rsidRPr="00EC5C7B">
        <w:rPr>
          <w:rFonts w:cstheme="minorHAnsi"/>
          <w:sz w:val="24"/>
          <w:szCs w:val="24"/>
        </w:rPr>
        <w:t xml:space="preserve">The current process to amend a birth certificate can be lengthy, particularly for those </w:t>
      </w:r>
      <w:proofErr w:type="spellStart"/>
      <w:r w:rsidR="00425F44">
        <w:rPr>
          <w:rFonts w:cstheme="minorHAnsi"/>
          <w:sz w:val="24"/>
          <w:szCs w:val="24"/>
        </w:rPr>
        <w:t>takatāpui</w:t>
      </w:r>
      <w:proofErr w:type="spellEnd"/>
      <w:r w:rsidR="00425F44">
        <w:rPr>
          <w:rFonts w:cstheme="minorHAnsi"/>
          <w:sz w:val="24"/>
          <w:szCs w:val="24"/>
        </w:rPr>
        <w:t xml:space="preserve">, trans and non-binary </w:t>
      </w:r>
      <w:r w:rsidR="008D2413">
        <w:rPr>
          <w:rFonts w:cstheme="minorHAnsi"/>
          <w:sz w:val="24"/>
          <w:szCs w:val="24"/>
        </w:rPr>
        <w:t xml:space="preserve">people </w:t>
      </w:r>
      <w:r w:rsidRPr="00EC5C7B">
        <w:rPr>
          <w:rFonts w:cstheme="minorHAnsi"/>
          <w:sz w:val="24"/>
          <w:szCs w:val="24"/>
        </w:rPr>
        <w:t xml:space="preserve">waiting for medical evidence to be supplied from a GP, hormone specialist or surgeon. For someone using a lawyer to make the application it is expensive, as a lawyer’s fees can be up to $3,000. The costs of obtaining medical evidence fall on </w:t>
      </w:r>
      <w:proofErr w:type="spellStart"/>
      <w:r w:rsidR="00425F44">
        <w:rPr>
          <w:rFonts w:cstheme="minorHAnsi"/>
          <w:sz w:val="24"/>
          <w:szCs w:val="24"/>
        </w:rPr>
        <w:t>takatāpui</w:t>
      </w:r>
      <w:proofErr w:type="spellEnd"/>
      <w:r w:rsidR="00425F44">
        <w:rPr>
          <w:rFonts w:cstheme="minorHAnsi"/>
          <w:sz w:val="24"/>
          <w:szCs w:val="24"/>
        </w:rPr>
        <w:t xml:space="preserve">, </w:t>
      </w:r>
      <w:r w:rsidRPr="00EC5C7B">
        <w:rPr>
          <w:rFonts w:cstheme="minorHAnsi"/>
          <w:sz w:val="24"/>
          <w:szCs w:val="24"/>
        </w:rPr>
        <w:t>trans</w:t>
      </w:r>
      <w:r w:rsidR="00C043BE">
        <w:rPr>
          <w:rFonts w:cstheme="minorHAnsi"/>
          <w:sz w:val="24"/>
          <w:szCs w:val="24"/>
        </w:rPr>
        <w:t xml:space="preserve"> or</w:t>
      </w:r>
      <w:r w:rsidRPr="00EC5C7B">
        <w:rPr>
          <w:rFonts w:cstheme="minorHAnsi"/>
          <w:sz w:val="24"/>
          <w:szCs w:val="24"/>
        </w:rPr>
        <w:t xml:space="preserve"> non-binary people themselves, or on parents making applications for their children under section 29</w:t>
      </w:r>
      <w:r w:rsidR="00B7135B">
        <w:rPr>
          <w:rFonts w:cstheme="minorHAnsi"/>
          <w:sz w:val="24"/>
          <w:szCs w:val="24"/>
        </w:rPr>
        <w:t xml:space="preserve"> of the BDMRRA</w:t>
      </w:r>
      <w:r w:rsidRPr="00EC5C7B">
        <w:rPr>
          <w:rFonts w:cstheme="minorHAnsi"/>
          <w:sz w:val="24"/>
          <w:szCs w:val="24"/>
        </w:rPr>
        <w:t xml:space="preserve">. The medical evidence requirements under section 29 are particularly onerous, also encompassing medical treatment that a </w:t>
      </w:r>
      <w:proofErr w:type="spellStart"/>
      <w:r w:rsidRPr="00EC5C7B">
        <w:rPr>
          <w:rFonts w:cstheme="minorHAnsi"/>
          <w:sz w:val="24"/>
          <w:szCs w:val="24"/>
        </w:rPr>
        <w:t>t</w:t>
      </w:r>
      <w:r w:rsidR="00425F44">
        <w:rPr>
          <w:rFonts w:cstheme="minorHAnsi"/>
          <w:sz w:val="24"/>
          <w:szCs w:val="24"/>
        </w:rPr>
        <w:t>akatāpui</w:t>
      </w:r>
      <w:proofErr w:type="spellEnd"/>
      <w:r w:rsidR="00425F44">
        <w:rPr>
          <w:rFonts w:cstheme="minorHAnsi"/>
          <w:sz w:val="24"/>
          <w:szCs w:val="24"/>
        </w:rPr>
        <w:t>, t</w:t>
      </w:r>
      <w:r w:rsidRPr="00EC5C7B">
        <w:rPr>
          <w:rFonts w:cstheme="minorHAnsi"/>
          <w:sz w:val="24"/>
          <w:szCs w:val="24"/>
        </w:rPr>
        <w:t>rans</w:t>
      </w:r>
      <w:r w:rsidR="00C043BE">
        <w:rPr>
          <w:rFonts w:cstheme="minorHAnsi"/>
          <w:sz w:val="24"/>
          <w:szCs w:val="24"/>
        </w:rPr>
        <w:t xml:space="preserve"> or </w:t>
      </w:r>
      <w:r w:rsidRPr="00EC5C7B">
        <w:rPr>
          <w:rFonts w:cstheme="minorHAnsi"/>
          <w:sz w:val="24"/>
          <w:szCs w:val="24"/>
        </w:rPr>
        <w:t>non-binary child has not yet undergone and which the court may determine is necessary for the child to maintain their gender identity.</w:t>
      </w:r>
    </w:p>
    <w:p w14:paraId="1FB5CD79" w14:textId="3A6D1A1C" w:rsidR="005D43A4" w:rsidRPr="00EC5C7B" w:rsidRDefault="005D43A4" w:rsidP="00457E21">
      <w:pPr>
        <w:spacing w:after="120" w:line="252" w:lineRule="auto"/>
        <w:ind w:right="-330"/>
        <w:rPr>
          <w:rFonts w:cstheme="minorHAnsi"/>
          <w:sz w:val="24"/>
          <w:szCs w:val="24"/>
        </w:rPr>
      </w:pPr>
      <w:r w:rsidRPr="00EC5C7B">
        <w:rPr>
          <w:rFonts w:cstheme="minorHAnsi"/>
          <w:sz w:val="24"/>
          <w:szCs w:val="24"/>
        </w:rPr>
        <w:t xml:space="preserve">The Family Court process, and the medical evidence it requires, prevents or deters many </w:t>
      </w:r>
      <w:proofErr w:type="spellStart"/>
      <w:r w:rsidR="00425F44">
        <w:rPr>
          <w:rFonts w:cstheme="minorHAnsi"/>
          <w:sz w:val="24"/>
          <w:szCs w:val="24"/>
        </w:rPr>
        <w:t>takatāpui</w:t>
      </w:r>
      <w:proofErr w:type="spellEnd"/>
      <w:r w:rsidR="00425F44">
        <w:rPr>
          <w:rFonts w:cstheme="minorHAnsi"/>
          <w:sz w:val="24"/>
          <w:szCs w:val="24"/>
        </w:rPr>
        <w:t xml:space="preserve">, </w:t>
      </w:r>
      <w:r w:rsidRPr="00EC5C7B">
        <w:rPr>
          <w:rFonts w:cstheme="minorHAnsi"/>
          <w:sz w:val="24"/>
          <w:szCs w:val="24"/>
        </w:rPr>
        <w:t>trans</w:t>
      </w:r>
      <w:r w:rsidR="00C043BE">
        <w:rPr>
          <w:rFonts w:cstheme="minorHAnsi"/>
          <w:sz w:val="24"/>
          <w:szCs w:val="24"/>
        </w:rPr>
        <w:t xml:space="preserve"> or</w:t>
      </w:r>
      <w:r w:rsidRPr="00EC5C7B">
        <w:rPr>
          <w:rFonts w:cstheme="minorHAnsi"/>
          <w:sz w:val="24"/>
          <w:szCs w:val="24"/>
        </w:rPr>
        <w:t xml:space="preserve"> non-binary people in New Zealand from amending their birth certificate. This means it is common for a </w:t>
      </w:r>
      <w:proofErr w:type="spellStart"/>
      <w:r w:rsidR="00425F44">
        <w:rPr>
          <w:rFonts w:cstheme="minorHAnsi"/>
          <w:sz w:val="24"/>
          <w:szCs w:val="24"/>
        </w:rPr>
        <w:t>takatāpui</w:t>
      </w:r>
      <w:proofErr w:type="spellEnd"/>
      <w:r w:rsidR="00425F44">
        <w:rPr>
          <w:rFonts w:cstheme="minorHAnsi"/>
          <w:sz w:val="24"/>
          <w:szCs w:val="24"/>
        </w:rPr>
        <w:t xml:space="preserve">, </w:t>
      </w:r>
      <w:r w:rsidRPr="00EC5C7B">
        <w:rPr>
          <w:rFonts w:cstheme="minorHAnsi"/>
          <w:sz w:val="24"/>
          <w:szCs w:val="24"/>
        </w:rPr>
        <w:t xml:space="preserve">trans or non-binary person to have a birth certificate that does not match the details on their passport, driver licence record, or other official documents, </w:t>
      </w:r>
      <w:r w:rsidRPr="00EC5C7B">
        <w:rPr>
          <w:rFonts w:cstheme="minorHAnsi"/>
          <w:sz w:val="24"/>
          <w:szCs w:val="24"/>
        </w:rPr>
        <w:lastRenderedPageBreak/>
        <w:t xml:space="preserve">including school enrolment records. It is difficult for people to navigate everyday life with safety, dignity and privacy, when different identity documents do not match. There is extensive empirical research overseas highlighting that </w:t>
      </w:r>
      <w:r w:rsidR="00425F44">
        <w:rPr>
          <w:rFonts w:cstheme="minorHAnsi"/>
          <w:sz w:val="24"/>
          <w:szCs w:val="24"/>
        </w:rPr>
        <w:t>trans and non-binary</w:t>
      </w:r>
      <w:r w:rsidR="00AB3CDC">
        <w:rPr>
          <w:rFonts w:cstheme="minorHAnsi"/>
          <w:sz w:val="24"/>
          <w:szCs w:val="24"/>
        </w:rPr>
        <w:t xml:space="preserve"> </w:t>
      </w:r>
      <w:r w:rsidRPr="00EC5C7B">
        <w:rPr>
          <w:rFonts w:cstheme="minorHAnsi"/>
          <w:sz w:val="24"/>
          <w:szCs w:val="24"/>
        </w:rPr>
        <w:t>people are denied services, harassed, or attacked,</w:t>
      </w:r>
      <w:r w:rsidRPr="00EC5C7B">
        <w:rPr>
          <w:rStyle w:val="FootnoteReference"/>
          <w:rFonts w:cstheme="minorHAnsi"/>
          <w:sz w:val="24"/>
          <w:szCs w:val="24"/>
        </w:rPr>
        <w:footnoteReference w:id="4"/>
      </w:r>
      <w:r w:rsidRPr="00EC5C7B">
        <w:rPr>
          <w:rFonts w:cstheme="minorHAnsi"/>
          <w:sz w:val="24"/>
          <w:szCs w:val="24"/>
        </w:rPr>
        <w:t xml:space="preserve"> and have worse mental health outcomes,</w:t>
      </w:r>
      <w:r w:rsidRPr="00EC5C7B">
        <w:rPr>
          <w:rStyle w:val="FootnoteReference"/>
          <w:rFonts w:cstheme="minorHAnsi"/>
          <w:sz w:val="24"/>
          <w:szCs w:val="24"/>
        </w:rPr>
        <w:footnoteReference w:id="5"/>
      </w:r>
      <w:r w:rsidRPr="00EC5C7B">
        <w:rPr>
          <w:rFonts w:cstheme="minorHAnsi"/>
          <w:sz w:val="24"/>
          <w:szCs w:val="24"/>
        </w:rPr>
        <w:t xml:space="preserve"> when their identity documents do not match their gender identity. </w:t>
      </w:r>
    </w:p>
    <w:p w14:paraId="1C9860B8" w14:textId="3DD735DF" w:rsidR="005D43A4" w:rsidRPr="00EC5C7B" w:rsidRDefault="005D43A4" w:rsidP="00457E21">
      <w:pPr>
        <w:spacing w:after="120" w:line="252" w:lineRule="auto"/>
        <w:ind w:right="-330"/>
        <w:rPr>
          <w:rFonts w:cstheme="minorHAnsi"/>
          <w:sz w:val="24"/>
          <w:szCs w:val="24"/>
        </w:rPr>
      </w:pPr>
      <w:r w:rsidRPr="00EC5C7B">
        <w:rPr>
          <w:rFonts w:cstheme="minorHAnsi"/>
          <w:sz w:val="24"/>
          <w:szCs w:val="24"/>
        </w:rPr>
        <w:t xml:space="preserve">It is only fair that that every </w:t>
      </w:r>
      <w:proofErr w:type="spellStart"/>
      <w:r w:rsidR="00425F44">
        <w:rPr>
          <w:rFonts w:cstheme="minorHAnsi"/>
          <w:sz w:val="24"/>
          <w:szCs w:val="24"/>
        </w:rPr>
        <w:t>takatāpui</w:t>
      </w:r>
      <w:proofErr w:type="spellEnd"/>
      <w:r w:rsidR="00425F44">
        <w:rPr>
          <w:rFonts w:cstheme="minorHAnsi"/>
          <w:sz w:val="24"/>
          <w:szCs w:val="24"/>
        </w:rPr>
        <w:t xml:space="preserve">, </w:t>
      </w:r>
      <w:r w:rsidRPr="00EC5C7B">
        <w:rPr>
          <w:rFonts w:cstheme="minorHAnsi"/>
          <w:sz w:val="24"/>
          <w:szCs w:val="24"/>
        </w:rPr>
        <w:t>trans</w:t>
      </w:r>
      <w:r w:rsidR="00130156">
        <w:rPr>
          <w:rFonts w:cstheme="minorHAnsi"/>
          <w:sz w:val="24"/>
          <w:szCs w:val="24"/>
        </w:rPr>
        <w:t xml:space="preserve"> or</w:t>
      </w:r>
      <w:r w:rsidRPr="00EC5C7B">
        <w:rPr>
          <w:rFonts w:cstheme="minorHAnsi"/>
          <w:sz w:val="24"/>
          <w:szCs w:val="24"/>
        </w:rPr>
        <w:t xml:space="preserve"> non-binary person born in Aotearoa should be able to change the gender marker on their birth certificate, through an accessible process. A birth certificate is the only document that someone born here can never have taken away from them. In some significant life events, it is the sole document that will be accepted as proof of identity. For example, the gender marker on a </w:t>
      </w:r>
      <w:proofErr w:type="spellStart"/>
      <w:r w:rsidR="00425F44">
        <w:rPr>
          <w:rFonts w:cstheme="minorHAnsi"/>
          <w:sz w:val="24"/>
          <w:szCs w:val="24"/>
        </w:rPr>
        <w:t>takatāpui</w:t>
      </w:r>
      <w:proofErr w:type="spellEnd"/>
      <w:r w:rsidR="00425F44">
        <w:rPr>
          <w:rFonts w:cstheme="minorHAnsi"/>
          <w:sz w:val="24"/>
          <w:szCs w:val="24"/>
        </w:rPr>
        <w:t xml:space="preserve">, </w:t>
      </w:r>
      <w:r w:rsidRPr="00EC5C7B">
        <w:rPr>
          <w:rFonts w:cstheme="minorHAnsi"/>
          <w:sz w:val="24"/>
          <w:szCs w:val="24"/>
        </w:rPr>
        <w:t>trans</w:t>
      </w:r>
      <w:r w:rsidR="00130156">
        <w:rPr>
          <w:rFonts w:cstheme="minorHAnsi"/>
          <w:sz w:val="24"/>
          <w:szCs w:val="24"/>
        </w:rPr>
        <w:t xml:space="preserve"> or </w:t>
      </w:r>
      <w:r w:rsidRPr="00EC5C7B">
        <w:rPr>
          <w:rFonts w:cstheme="minorHAnsi"/>
          <w:sz w:val="24"/>
          <w:szCs w:val="24"/>
        </w:rPr>
        <w:t xml:space="preserve">non-binary person’s birth certificate is used on their marriage or civil union certificate, on their child’s birth certificate, and on their death certificate. </w:t>
      </w:r>
    </w:p>
    <w:p w14:paraId="1CC32A71" w14:textId="5FFAA5C4" w:rsidR="00692C42" w:rsidRDefault="005D43A4" w:rsidP="00457E21">
      <w:pPr>
        <w:spacing w:after="120" w:line="252" w:lineRule="auto"/>
        <w:ind w:right="-330"/>
        <w:rPr>
          <w:rFonts w:cstheme="minorHAnsi"/>
          <w:sz w:val="24"/>
          <w:szCs w:val="24"/>
        </w:rPr>
      </w:pPr>
      <w:r w:rsidRPr="00EC5C7B">
        <w:rPr>
          <w:rFonts w:cstheme="minorHAnsi"/>
          <w:sz w:val="24"/>
          <w:szCs w:val="24"/>
        </w:rPr>
        <w:t xml:space="preserve">New Zealand’s policy for </w:t>
      </w:r>
      <w:r w:rsidR="00425F44">
        <w:rPr>
          <w:rFonts w:cstheme="minorHAnsi"/>
          <w:sz w:val="24"/>
          <w:szCs w:val="24"/>
        </w:rPr>
        <w:t xml:space="preserve">amending gender markers on passports, </w:t>
      </w:r>
      <w:r w:rsidRPr="00EC5C7B">
        <w:rPr>
          <w:rFonts w:cstheme="minorHAnsi"/>
          <w:sz w:val="24"/>
          <w:szCs w:val="24"/>
        </w:rPr>
        <w:t>introduced in December 2012, is often cited as one of the best in the world.</w:t>
      </w:r>
      <w:r w:rsidRPr="00EC5C7B">
        <w:rPr>
          <w:rStyle w:val="FootnoteReference"/>
          <w:rFonts w:cstheme="minorHAnsi"/>
          <w:sz w:val="24"/>
          <w:szCs w:val="24"/>
        </w:rPr>
        <w:footnoteReference w:id="6"/>
      </w:r>
      <w:r w:rsidRPr="00EC5C7B">
        <w:rPr>
          <w:rFonts w:cstheme="minorHAnsi"/>
          <w:sz w:val="24"/>
          <w:szCs w:val="24"/>
        </w:rPr>
        <w:t xml:space="preserve"> In contrast, the BDMRRA provisions for amending gender markers on birth certificates, developed 23 years ago, are outdated. They have not kept pace with international human rights standards, that set out each person’s right to a legal recognition, regardless of age.</w:t>
      </w:r>
      <w:r w:rsidRPr="00EC5C7B">
        <w:rPr>
          <w:rStyle w:val="FootnoteReference"/>
          <w:rFonts w:cstheme="minorHAnsi"/>
          <w:sz w:val="24"/>
          <w:szCs w:val="24"/>
        </w:rPr>
        <w:footnoteReference w:id="7"/>
      </w:r>
      <w:r w:rsidRPr="00EC5C7B">
        <w:rPr>
          <w:rFonts w:cstheme="minorHAnsi"/>
          <w:sz w:val="24"/>
          <w:szCs w:val="24"/>
        </w:rPr>
        <w:t xml:space="preserve"> The BDMRRA provisions do not meet the requirements set out in international case law</w:t>
      </w:r>
      <w:r w:rsidRPr="00EC5C7B">
        <w:rPr>
          <w:rStyle w:val="FootnoteReference"/>
          <w:rFonts w:cstheme="minorHAnsi"/>
          <w:sz w:val="24"/>
          <w:szCs w:val="24"/>
        </w:rPr>
        <w:footnoteReference w:id="8"/>
      </w:r>
      <w:r w:rsidRPr="00EC5C7B">
        <w:rPr>
          <w:rFonts w:cstheme="minorHAnsi"/>
          <w:sz w:val="24"/>
          <w:szCs w:val="24"/>
        </w:rPr>
        <w:t xml:space="preserve"> or recommendations by United Nations bodies that monitor treaties that New Zealand has ratified.</w:t>
      </w:r>
      <w:r w:rsidRPr="00EC5C7B">
        <w:rPr>
          <w:rStyle w:val="FootnoteReference"/>
          <w:rFonts w:cstheme="minorHAnsi"/>
          <w:sz w:val="24"/>
          <w:szCs w:val="24"/>
        </w:rPr>
        <w:footnoteReference w:id="9"/>
      </w:r>
      <w:r w:rsidRPr="00EC5C7B">
        <w:rPr>
          <w:rFonts w:cstheme="minorHAnsi"/>
          <w:sz w:val="24"/>
          <w:szCs w:val="24"/>
        </w:rPr>
        <w:t xml:space="preserve"> </w:t>
      </w:r>
    </w:p>
    <w:p w14:paraId="34C0B616" w14:textId="77777777" w:rsidR="00B7135B" w:rsidRDefault="00B7135B">
      <w:pPr>
        <w:rPr>
          <w:rFonts w:cstheme="minorHAnsi"/>
          <w:i/>
          <w:sz w:val="24"/>
          <w:szCs w:val="24"/>
        </w:rPr>
      </w:pPr>
      <w:r>
        <w:rPr>
          <w:rFonts w:cstheme="minorHAnsi"/>
          <w:i/>
          <w:sz w:val="24"/>
          <w:szCs w:val="24"/>
        </w:rPr>
        <w:br w:type="page"/>
      </w:r>
    </w:p>
    <w:p w14:paraId="0640025A" w14:textId="4ABFA243" w:rsidR="005D43A4" w:rsidRPr="00EC5C7B" w:rsidRDefault="005D43A4" w:rsidP="00457E21">
      <w:pPr>
        <w:spacing w:line="252" w:lineRule="auto"/>
        <w:ind w:right="-330"/>
        <w:rPr>
          <w:rFonts w:cstheme="minorHAnsi"/>
          <w:i/>
          <w:sz w:val="24"/>
          <w:szCs w:val="24"/>
        </w:rPr>
      </w:pPr>
      <w:r w:rsidRPr="00EC5C7B">
        <w:rPr>
          <w:rFonts w:cstheme="minorHAnsi"/>
          <w:i/>
          <w:sz w:val="24"/>
          <w:szCs w:val="24"/>
        </w:rPr>
        <w:lastRenderedPageBreak/>
        <w:t>Benefits of amending the BDMRRA</w:t>
      </w:r>
    </w:p>
    <w:p w14:paraId="60A6ED3E" w14:textId="368679AC" w:rsidR="005D43A4" w:rsidRPr="00EC5C7B" w:rsidRDefault="005D43A4" w:rsidP="00457E21">
      <w:pPr>
        <w:spacing w:after="120" w:line="252" w:lineRule="auto"/>
        <w:ind w:right="-330"/>
        <w:rPr>
          <w:rFonts w:cstheme="minorHAnsi"/>
          <w:sz w:val="24"/>
          <w:szCs w:val="24"/>
        </w:rPr>
      </w:pPr>
      <w:r w:rsidRPr="00EC5C7B">
        <w:rPr>
          <w:rFonts w:cstheme="minorHAnsi"/>
          <w:sz w:val="24"/>
          <w:szCs w:val="24"/>
        </w:rPr>
        <w:t>The current review of the BDMRRA is a timely opportunity to update sections 28 (covering adults) and 29 (covering those under the age of 18) so that there is “a quick, transparent, and accessible mechanism that legally recognises and affirms each person’s self-defined gender identity”, with no further eligibility criteria required.</w:t>
      </w:r>
      <w:r w:rsidRPr="00EC5C7B">
        <w:rPr>
          <w:rStyle w:val="FootnoteReference"/>
          <w:rFonts w:cstheme="minorHAnsi"/>
          <w:sz w:val="24"/>
          <w:szCs w:val="24"/>
        </w:rPr>
        <w:footnoteReference w:id="10"/>
      </w:r>
      <w:r w:rsidRPr="00EC5C7B">
        <w:rPr>
          <w:rFonts w:cstheme="minorHAnsi"/>
          <w:sz w:val="24"/>
          <w:szCs w:val="24"/>
        </w:rPr>
        <w:t xml:space="preserve"> This would ensure </w:t>
      </w:r>
      <w:r w:rsidR="008D2413">
        <w:rPr>
          <w:rFonts w:cstheme="minorHAnsi"/>
          <w:sz w:val="24"/>
          <w:szCs w:val="24"/>
        </w:rPr>
        <w:t xml:space="preserve">trans and non-binary people </w:t>
      </w:r>
      <w:r w:rsidRPr="00EC5C7B">
        <w:rPr>
          <w:rFonts w:cstheme="minorHAnsi"/>
          <w:sz w:val="24"/>
          <w:szCs w:val="24"/>
        </w:rPr>
        <w:t>have the same right to legal recognition, and the legal protection that provides, as all other people in New Zealand.</w:t>
      </w:r>
    </w:p>
    <w:p w14:paraId="7EE8465A" w14:textId="3C2DDFF1" w:rsidR="005D43A4" w:rsidRPr="00EC5C7B" w:rsidRDefault="005D43A4" w:rsidP="00B7135B">
      <w:pPr>
        <w:spacing w:after="60" w:line="252" w:lineRule="auto"/>
        <w:ind w:right="-329"/>
        <w:rPr>
          <w:rFonts w:cstheme="minorHAnsi"/>
          <w:sz w:val="24"/>
          <w:szCs w:val="24"/>
        </w:rPr>
      </w:pPr>
      <w:r w:rsidRPr="00EC5C7B">
        <w:rPr>
          <w:rFonts w:cstheme="minorHAnsi"/>
          <w:sz w:val="24"/>
          <w:szCs w:val="24"/>
        </w:rPr>
        <w:t xml:space="preserve">This is a chance to update the BDMRRA to reflect how the New Zealand government already deals with requests from </w:t>
      </w:r>
      <w:proofErr w:type="spellStart"/>
      <w:r w:rsidR="00425F44">
        <w:rPr>
          <w:rFonts w:cstheme="minorHAnsi"/>
          <w:sz w:val="24"/>
          <w:szCs w:val="24"/>
        </w:rPr>
        <w:t>takatāpui</w:t>
      </w:r>
      <w:proofErr w:type="spellEnd"/>
      <w:r w:rsidR="00425F44">
        <w:rPr>
          <w:rFonts w:cstheme="minorHAnsi"/>
          <w:sz w:val="24"/>
          <w:szCs w:val="24"/>
        </w:rPr>
        <w:t>, trans and non-binary</w:t>
      </w:r>
      <w:r w:rsidR="008D2413">
        <w:rPr>
          <w:rFonts w:cstheme="minorHAnsi"/>
          <w:sz w:val="24"/>
          <w:szCs w:val="24"/>
        </w:rPr>
        <w:t xml:space="preserve"> people </w:t>
      </w:r>
      <w:r w:rsidRPr="00EC5C7B">
        <w:rPr>
          <w:rFonts w:cstheme="minorHAnsi"/>
          <w:sz w:val="24"/>
          <w:szCs w:val="24"/>
        </w:rPr>
        <w:t>to change gender markers on passports and driver licence records. The necessary amendments would:</w:t>
      </w:r>
    </w:p>
    <w:p w14:paraId="2FDFDAF0" w14:textId="644A9773" w:rsidR="005D43A4" w:rsidRPr="00EC5C7B" w:rsidRDefault="005D43A4" w:rsidP="00457E21">
      <w:pPr>
        <w:pStyle w:val="ListParagraph"/>
        <w:numPr>
          <w:ilvl w:val="0"/>
          <w:numId w:val="1"/>
        </w:numPr>
        <w:spacing w:line="252" w:lineRule="auto"/>
        <w:ind w:left="567" w:right="-330" w:hanging="425"/>
        <w:rPr>
          <w:rFonts w:cstheme="minorHAnsi"/>
          <w:sz w:val="24"/>
          <w:szCs w:val="24"/>
        </w:rPr>
      </w:pPr>
      <w:r w:rsidRPr="00EC5C7B">
        <w:rPr>
          <w:rFonts w:cstheme="minorHAnsi"/>
          <w:sz w:val="24"/>
          <w:szCs w:val="24"/>
        </w:rPr>
        <w:t xml:space="preserve">replace a Family Court application with a statutory declaration process that enables </w:t>
      </w:r>
      <w:proofErr w:type="spellStart"/>
      <w:r w:rsidR="00425F44">
        <w:rPr>
          <w:rFonts w:cstheme="minorHAnsi"/>
          <w:sz w:val="24"/>
          <w:szCs w:val="24"/>
        </w:rPr>
        <w:t>takatāpui</w:t>
      </w:r>
      <w:proofErr w:type="spellEnd"/>
      <w:r w:rsidR="00425F44">
        <w:rPr>
          <w:rFonts w:cstheme="minorHAnsi"/>
          <w:sz w:val="24"/>
          <w:szCs w:val="24"/>
        </w:rPr>
        <w:t xml:space="preserve">, </w:t>
      </w:r>
      <w:r w:rsidRPr="00EC5C7B">
        <w:rPr>
          <w:rFonts w:cstheme="minorHAnsi"/>
          <w:sz w:val="24"/>
          <w:szCs w:val="24"/>
        </w:rPr>
        <w:t>trans</w:t>
      </w:r>
      <w:r w:rsidR="00130156">
        <w:rPr>
          <w:rFonts w:cstheme="minorHAnsi"/>
          <w:sz w:val="24"/>
          <w:szCs w:val="24"/>
        </w:rPr>
        <w:t xml:space="preserve"> or</w:t>
      </w:r>
      <w:r w:rsidRPr="00EC5C7B">
        <w:rPr>
          <w:rFonts w:cstheme="minorHAnsi"/>
          <w:sz w:val="24"/>
          <w:szCs w:val="24"/>
        </w:rPr>
        <w:t xml:space="preserve"> non-binary pe</w:t>
      </w:r>
      <w:r w:rsidR="00425F44">
        <w:rPr>
          <w:rFonts w:cstheme="minorHAnsi"/>
          <w:sz w:val="24"/>
          <w:szCs w:val="24"/>
        </w:rPr>
        <w:t>ople</w:t>
      </w:r>
      <w:r w:rsidRPr="00EC5C7B">
        <w:rPr>
          <w:rFonts w:cstheme="minorHAnsi"/>
          <w:sz w:val="24"/>
          <w:szCs w:val="24"/>
        </w:rPr>
        <w:t xml:space="preserve"> to affirm their self-defined gender identity </w:t>
      </w:r>
    </w:p>
    <w:p w14:paraId="39DF06EC" w14:textId="77777777" w:rsidR="005D43A4" w:rsidRPr="00EC5C7B" w:rsidRDefault="005D43A4" w:rsidP="00457E21">
      <w:pPr>
        <w:pStyle w:val="ListParagraph"/>
        <w:numPr>
          <w:ilvl w:val="0"/>
          <w:numId w:val="1"/>
        </w:numPr>
        <w:spacing w:line="252" w:lineRule="auto"/>
        <w:ind w:left="567" w:right="-330" w:hanging="425"/>
        <w:rPr>
          <w:rFonts w:cstheme="minorHAnsi"/>
          <w:sz w:val="24"/>
          <w:szCs w:val="24"/>
        </w:rPr>
      </w:pPr>
      <w:r w:rsidRPr="00EC5C7B">
        <w:rPr>
          <w:rFonts w:cstheme="minorHAnsi"/>
          <w:sz w:val="24"/>
          <w:szCs w:val="24"/>
        </w:rPr>
        <w:t>remove any other eligibility requirements, such as the need for medical evidence and</w:t>
      </w:r>
    </w:p>
    <w:p w14:paraId="3C196E7E" w14:textId="77777777" w:rsidR="005D43A4" w:rsidRPr="00EC5C7B" w:rsidRDefault="005D43A4" w:rsidP="00457E21">
      <w:pPr>
        <w:pStyle w:val="ListParagraph"/>
        <w:numPr>
          <w:ilvl w:val="0"/>
          <w:numId w:val="1"/>
        </w:numPr>
        <w:spacing w:after="120" w:line="252" w:lineRule="auto"/>
        <w:ind w:left="567" w:right="-330" w:hanging="425"/>
        <w:rPr>
          <w:rFonts w:cstheme="minorHAnsi"/>
          <w:sz w:val="24"/>
          <w:szCs w:val="24"/>
        </w:rPr>
      </w:pPr>
      <w:r w:rsidRPr="00EC5C7B">
        <w:rPr>
          <w:rFonts w:cstheme="minorHAnsi"/>
          <w:sz w:val="24"/>
          <w:szCs w:val="24"/>
        </w:rPr>
        <w:t xml:space="preserve">enable gender markers to be recognised as male, female, or as a third, non-binary gender. </w:t>
      </w:r>
    </w:p>
    <w:p w14:paraId="36B09AAF" w14:textId="1F6C3803" w:rsidR="005D43A4" w:rsidRPr="00EC5C7B" w:rsidRDefault="005D43A4" w:rsidP="00457E21">
      <w:pPr>
        <w:spacing w:after="120" w:line="252" w:lineRule="auto"/>
        <w:ind w:right="-330"/>
        <w:rPr>
          <w:rFonts w:cstheme="minorHAnsi"/>
          <w:sz w:val="24"/>
          <w:szCs w:val="24"/>
        </w:rPr>
      </w:pPr>
      <w:r w:rsidRPr="00EC5C7B">
        <w:rPr>
          <w:rFonts w:cstheme="minorHAnsi"/>
          <w:sz w:val="24"/>
          <w:szCs w:val="24"/>
        </w:rPr>
        <w:t xml:space="preserve">In addition, those aged 16 and 17 should not require parent consent to amend the gender marker on their birth certificate. This reflects that 16 is the </w:t>
      </w:r>
      <w:r w:rsidRPr="00EC5C7B">
        <w:rPr>
          <w:sz w:val="24"/>
          <w:szCs w:val="24"/>
        </w:rPr>
        <w:t>threshold for consent, or refusal to consent, to medical treatment in New Zealand</w:t>
      </w:r>
      <w:r w:rsidR="00692C42">
        <w:rPr>
          <w:sz w:val="24"/>
          <w:szCs w:val="24"/>
        </w:rPr>
        <w:t>.</w:t>
      </w:r>
      <w:r w:rsidRPr="00EC5C7B">
        <w:rPr>
          <w:rStyle w:val="FootnoteReference"/>
          <w:sz w:val="24"/>
          <w:szCs w:val="24"/>
        </w:rPr>
        <w:footnoteReference w:id="11"/>
      </w:r>
    </w:p>
    <w:p w14:paraId="302B0D48" w14:textId="3E6A892F" w:rsidR="005D43A4" w:rsidRPr="00EC5C7B" w:rsidRDefault="005D43A4" w:rsidP="00457E21">
      <w:pPr>
        <w:spacing w:after="120" w:line="252" w:lineRule="auto"/>
        <w:ind w:right="-330"/>
        <w:rPr>
          <w:rFonts w:cstheme="minorHAnsi"/>
          <w:sz w:val="24"/>
          <w:szCs w:val="24"/>
        </w:rPr>
      </w:pPr>
      <w:r w:rsidRPr="00EC5C7B">
        <w:rPr>
          <w:rFonts w:cstheme="minorHAnsi"/>
          <w:sz w:val="24"/>
          <w:szCs w:val="24"/>
        </w:rPr>
        <w:t xml:space="preserve">Moving from a Family Court process to a statutory declaration will reduce cost barriers for </w:t>
      </w:r>
      <w:proofErr w:type="spellStart"/>
      <w:r w:rsidR="00425F44">
        <w:rPr>
          <w:rFonts w:cstheme="minorHAnsi"/>
          <w:sz w:val="24"/>
          <w:szCs w:val="24"/>
        </w:rPr>
        <w:t>takatāpui</w:t>
      </w:r>
      <w:proofErr w:type="spellEnd"/>
      <w:r w:rsidR="00425F44">
        <w:rPr>
          <w:rFonts w:cstheme="minorHAnsi"/>
          <w:sz w:val="24"/>
          <w:szCs w:val="24"/>
        </w:rPr>
        <w:t>, trans and non-binary</w:t>
      </w:r>
      <w:r w:rsidR="00AB3CDC">
        <w:rPr>
          <w:rFonts w:cstheme="minorHAnsi"/>
          <w:sz w:val="24"/>
          <w:szCs w:val="24"/>
        </w:rPr>
        <w:t xml:space="preserve"> </w:t>
      </w:r>
      <w:r w:rsidR="0043120A">
        <w:rPr>
          <w:rFonts w:cstheme="minorHAnsi"/>
          <w:sz w:val="24"/>
          <w:szCs w:val="24"/>
        </w:rPr>
        <w:t>people</w:t>
      </w:r>
      <w:r w:rsidRPr="00EC5C7B">
        <w:rPr>
          <w:rFonts w:cstheme="minorHAnsi"/>
          <w:sz w:val="24"/>
          <w:szCs w:val="24"/>
        </w:rPr>
        <w:t xml:space="preserve">, including </w:t>
      </w:r>
      <w:r w:rsidR="008D2413">
        <w:rPr>
          <w:rFonts w:cstheme="minorHAnsi"/>
          <w:sz w:val="24"/>
          <w:szCs w:val="24"/>
        </w:rPr>
        <w:t xml:space="preserve">their </w:t>
      </w:r>
      <w:proofErr w:type="spellStart"/>
      <w:r w:rsidR="008D2413">
        <w:rPr>
          <w:rFonts w:cstheme="minorHAnsi"/>
          <w:sz w:val="24"/>
          <w:szCs w:val="24"/>
        </w:rPr>
        <w:t>whānau</w:t>
      </w:r>
      <w:proofErr w:type="spellEnd"/>
      <w:r w:rsidRPr="00EC5C7B">
        <w:rPr>
          <w:rFonts w:cstheme="minorHAnsi"/>
          <w:sz w:val="24"/>
          <w:szCs w:val="24"/>
        </w:rPr>
        <w:t xml:space="preserve">; free up the court’s time; and reduce the administrative burden on the health professionals who are asked to supply medical evidence for each application. </w:t>
      </w:r>
    </w:p>
    <w:p w14:paraId="7EA95799" w14:textId="42D60128" w:rsidR="005D43A4" w:rsidRPr="00EC5C7B" w:rsidRDefault="005D43A4" w:rsidP="00457E21">
      <w:pPr>
        <w:spacing w:after="120" w:line="252" w:lineRule="auto"/>
        <w:ind w:right="-330"/>
        <w:rPr>
          <w:rFonts w:cstheme="minorHAnsi"/>
          <w:sz w:val="24"/>
          <w:szCs w:val="24"/>
        </w:rPr>
      </w:pPr>
      <w:r w:rsidRPr="00EC5C7B">
        <w:rPr>
          <w:rFonts w:cstheme="minorHAnsi"/>
          <w:sz w:val="24"/>
          <w:szCs w:val="24"/>
        </w:rPr>
        <w:t xml:space="preserve">These changes will have very little impact on the non-transgender community, as a passport can be used as proof of identity in most circumstances. They will have a very significant impact on the </w:t>
      </w:r>
      <w:proofErr w:type="spellStart"/>
      <w:r w:rsidR="00425F44">
        <w:rPr>
          <w:rFonts w:cstheme="minorHAnsi"/>
          <w:sz w:val="24"/>
          <w:szCs w:val="24"/>
        </w:rPr>
        <w:t>takatāpui</w:t>
      </w:r>
      <w:proofErr w:type="spellEnd"/>
      <w:r w:rsidR="00425F44">
        <w:rPr>
          <w:rFonts w:cstheme="minorHAnsi"/>
          <w:sz w:val="24"/>
          <w:szCs w:val="24"/>
        </w:rPr>
        <w:t>, trans and non-binary</w:t>
      </w:r>
      <w:r w:rsidR="008D2413">
        <w:rPr>
          <w:rFonts w:cstheme="minorHAnsi"/>
          <w:sz w:val="24"/>
          <w:szCs w:val="24"/>
        </w:rPr>
        <w:t xml:space="preserve"> people </w:t>
      </w:r>
      <w:r w:rsidRPr="00EC5C7B">
        <w:rPr>
          <w:rFonts w:cstheme="minorHAnsi"/>
          <w:sz w:val="24"/>
          <w:szCs w:val="24"/>
        </w:rPr>
        <w:t xml:space="preserve">in those instances where a birth certificate must be shown. </w:t>
      </w:r>
    </w:p>
    <w:p w14:paraId="41927D9F" w14:textId="3F841BBE" w:rsidR="005D43A4" w:rsidRPr="00EC5C7B" w:rsidRDefault="005D43A4" w:rsidP="00457E21">
      <w:pPr>
        <w:spacing w:after="120" w:line="252" w:lineRule="auto"/>
        <w:ind w:right="-330"/>
        <w:rPr>
          <w:rFonts w:cstheme="minorHAnsi"/>
          <w:sz w:val="24"/>
          <w:szCs w:val="24"/>
        </w:rPr>
      </w:pPr>
      <w:r w:rsidRPr="00EC5C7B">
        <w:rPr>
          <w:rFonts w:cstheme="minorHAnsi"/>
          <w:sz w:val="24"/>
          <w:szCs w:val="24"/>
        </w:rPr>
        <w:t xml:space="preserve">By updating the BDMRRA in this way, New Zealand can make it possible for all </w:t>
      </w:r>
      <w:proofErr w:type="spellStart"/>
      <w:r w:rsidR="00425F44">
        <w:rPr>
          <w:rFonts w:cstheme="minorHAnsi"/>
          <w:sz w:val="24"/>
          <w:szCs w:val="24"/>
        </w:rPr>
        <w:t>takatāpui</w:t>
      </w:r>
      <w:proofErr w:type="spellEnd"/>
      <w:r w:rsidR="00425F44">
        <w:rPr>
          <w:rFonts w:cstheme="minorHAnsi"/>
          <w:sz w:val="24"/>
          <w:szCs w:val="24"/>
        </w:rPr>
        <w:t>, trans and non-binary</w:t>
      </w:r>
      <w:r w:rsidR="008D2413">
        <w:rPr>
          <w:rFonts w:cstheme="minorHAnsi"/>
          <w:sz w:val="24"/>
          <w:szCs w:val="24"/>
        </w:rPr>
        <w:t xml:space="preserve"> people </w:t>
      </w:r>
      <w:r w:rsidRPr="00EC5C7B">
        <w:rPr>
          <w:rFonts w:cstheme="minorHAnsi"/>
          <w:sz w:val="24"/>
          <w:szCs w:val="24"/>
        </w:rPr>
        <w:t xml:space="preserve">to be able to afford to amend their birth certificate. This would demonstrate New Zealand’s commitment to international human rights standards and would make an important practical difference for </w:t>
      </w:r>
      <w:proofErr w:type="spellStart"/>
      <w:r w:rsidR="00425F44">
        <w:rPr>
          <w:rFonts w:cstheme="minorHAnsi"/>
          <w:sz w:val="24"/>
          <w:szCs w:val="24"/>
        </w:rPr>
        <w:t>takatāpui</w:t>
      </w:r>
      <w:proofErr w:type="spellEnd"/>
      <w:r w:rsidR="00425F44">
        <w:rPr>
          <w:rFonts w:cstheme="minorHAnsi"/>
          <w:sz w:val="24"/>
          <w:szCs w:val="24"/>
        </w:rPr>
        <w:t>, trans and non-binary</w:t>
      </w:r>
      <w:r w:rsidR="00AB3CDC">
        <w:rPr>
          <w:rFonts w:cstheme="minorHAnsi"/>
          <w:sz w:val="24"/>
          <w:szCs w:val="24"/>
        </w:rPr>
        <w:t xml:space="preserve"> </w:t>
      </w:r>
      <w:r w:rsidRPr="00EC5C7B">
        <w:rPr>
          <w:rFonts w:cstheme="minorHAnsi"/>
          <w:sz w:val="24"/>
          <w:szCs w:val="24"/>
        </w:rPr>
        <w:t xml:space="preserve">people’s daily lives.  </w:t>
      </w:r>
    </w:p>
    <w:p w14:paraId="2BEA0C1D" w14:textId="0422176F" w:rsidR="003C1B2C" w:rsidRDefault="005D43A4" w:rsidP="00457E21">
      <w:pPr>
        <w:spacing w:after="120" w:line="252" w:lineRule="auto"/>
        <w:ind w:right="-329"/>
        <w:rPr>
          <w:rFonts w:eastAsia="Times New Roman" w:cstheme="minorHAnsi"/>
          <w:sz w:val="24"/>
          <w:szCs w:val="24"/>
          <w:lang w:eastAsia="en-NZ"/>
        </w:rPr>
      </w:pPr>
      <w:r w:rsidRPr="00EC5C7B">
        <w:rPr>
          <w:rFonts w:eastAsia="Times New Roman" w:cstheme="minorHAnsi"/>
          <w:sz w:val="24"/>
          <w:szCs w:val="24"/>
          <w:lang w:eastAsia="en-NZ"/>
        </w:rPr>
        <w:t xml:space="preserve">A statutory declaration model could also be used to enable </w:t>
      </w:r>
      <w:r w:rsidR="00AB3CDC">
        <w:rPr>
          <w:rFonts w:eastAsia="Times New Roman" w:cstheme="minorHAnsi"/>
          <w:sz w:val="24"/>
          <w:szCs w:val="24"/>
          <w:lang w:eastAsia="en-NZ"/>
        </w:rPr>
        <w:t>trans</w:t>
      </w:r>
      <w:r w:rsidR="008D2413">
        <w:rPr>
          <w:rFonts w:eastAsia="Times New Roman" w:cstheme="minorHAnsi"/>
          <w:sz w:val="24"/>
          <w:szCs w:val="24"/>
          <w:lang w:eastAsia="en-NZ"/>
        </w:rPr>
        <w:t xml:space="preserve"> and </w:t>
      </w:r>
      <w:r w:rsidR="00AB3CDC">
        <w:rPr>
          <w:rFonts w:eastAsia="Times New Roman" w:cstheme="minorHAnsi"/>
          <w:sz w:val="24"/>
          <w:szCs w:val="24"/>
          <w:lang w:eastAsia="en-NZ"/>
        </w:rPr>
        <w:t xml:space="preserve">non-binary </w:t>
      </w:r>
      <w:r w:rsidRPr="00EC5C7B">
        <w:rPr>
          <w:rFonts w:eastAsia="Times New Roman" w:cstheme="minorHAnsi"/>
          <w:sz w:val="24"/>
          <w:szCs w:val="24"/>
          <w:lang w:eastAsia="en-NZ"/>
        </w:rPr>
        <w:t xml:space="preserve">people who are seeking asylum, or in New Zealand on temporary visas, to verify their self-defined gender identity and name, when it is impossible for those details to be amended on their original birth certificate or passport. </w:t>
      </w:r>
      <w:r w:rsidRPr="00EC5C7B">
        <w:rPr>
          <w:rStyle w:val="FootnoteReference"/>
          <w:rFonts w:eastAsia="Times New Roman" w:cstheme="minorHAnsi"/>
          <w:sz w:val="24"/>
          <w:szCs w:val="24"/>
          <w:lang w:eastAsia="en-NZ"/>
        </w:rPr>
        <w:footnoteReference w:id="12"/>
      </w:r>
    </w:p>
    <w:p w14:paraId="2AE9BB97" w14:textId="77777777" w:rsidR="003C1B2C" w:rsidRDefault="003C1B2C">
      <w:pPr>
        <w:rPr>
          <w:rFonts w:eastAsia="Times New Roman" w:cstheme="minorHAnsi"/>
          <w:sz w:val="24"/>
          <w:szCs w:val="24"/>
          <w:lang w:eastAsia="en-NZ"/>
        </w:rPr>
      </w:pPr>
      <w:r>
        <w:rPr>
          <w:rFonts w:eastAsia="Times New Roman" w:cstheme="minorHAnsi"/>
          <w:sz w:val="24"/>
          <w:szCs w:val="24"/>
          <w:lang w:eastAsia="en-NZ"/>
        </w:rPr>
        <w:br w:type="page"/>
      </w:r>
    </w:p>
    <w:p w14:paraId="4CDF75B9" w14:textId="77777777" w:rsidR="005D43A4" w:rsidRPr="005D43A4" w:rsidRDefault="005D43A4" w:rsidP="006522B6">
      <w:pPr>
        <w:spacing w:after="60"/>
        <w:ind w:right="-329"/>
        <w:rPr>
          <w:rFonts w:cstheme="minorHAnsi"/>
          <w:b/>
          <w:sz w:val="24"/>
          <w:szCs w:val="24"/>
        </w:rPr>
      </w:pPr>
      <w:bookmarkStart w:id="0" w:name="_GoBack"/>
      <w:bookmarkEnd w:id="0"/>
      <w:r w:rsidRPr="005D43A4">
        <w:rPr>
          <w:rFonts w:cstheme="minorHAnsi"/>
          <w:b/>
          <w:sz w:val="24"/>
          <w:szCs w:val="24"/>
        </w:rPr>
        <w:lastRenderedPageBreak/>
        <w:t>This statement is endorsed by the following groups and individuals:</w:t>
      </w:r>
    </w:p>
    <w:p w14:paraId="27954677" w14:textId="77777777" w:rsidR="00662622" w:rsidRDefault="00662622" w:rsidP="006522B6">
      <w:pPr>
        <w:spacing w:after="20" w:line="250" w:lineRule="auto"/>
        <w:ind w:right="-330"/>
        <w:rPr>
          <w:rFonts w:cstheme="minorHAnsi"/>
          <w:sz w:val="24"/>
          <w:szCs w:val="24"/>
        </w:rPr>
      </w:pPr>
      <w:r>
        <w:rPr>
          <w:rFonts w:cstheme="minorHAnsi"/>
          <w:sz w:val="24"/>
          <w:szCs w:val="24"/>
        </w:rPr>
        <w:t>Ahi Wi-Hongi, national coordinator, Gender Minorities Aotearoa</w:t>
      </w:r>
    </w:p>
    <w:p w14:paraId="1C22A4B2" w14:textId="1BB32BC5" w:rsidR="004D266A" w:rsidRDefault="004D266A" w:rsidP="006522B6">
      <w:pPr>
        <w:spacing w:after="20" w:line="250" w:lineRule="auto"/>
        <w:ind w:right="-330"/>
        <w:rPr>
          <w:rFonts w:cstheme="minorHAnsi"/>
          <w:sz w:val="24"/>
          <w:szCs w:val="24"/>
        </w:rPr>
      </w:pPr>
      <w:r w:rsidRPr="00F113FC">
        <w:rPr>
          <w:rFonts w:cstheme="minorHAnsi"/>
          <w:sz w:val="24"/>
          <w:szCs w:val="24"/>
        </w:rPr>
        <w:t>Abbi Pritchard Jones, group administrator and facilitator, Genderbridge NZ</w:t>
      </w:r>
    </w:p>
    <w:p w14:paraId="43A2EF92" w14:textId="1D96A68C" w:rsidR="003C267F" w:rsidRDefault="003C267F" w:rsidP="006522B6">
      <w:pPr>
        <w:spacing w:after="20" w:line="250" w:lineRule="auto"/>
        <w:ind w:right="-330"/>
        <w:rPr>
          <w:rFonts w:cstheme="minorHAnsi"/>
          <w:sz w:val="24"/>
          <w:szCs w:val="24"/>
        </w:rPr>
      </w:pPr>
      <w:r>
        <w:rPr>
          <w:rFonts w:cstheme="minorHAnsi"/>
          <w:sz w:val="24"/>
          <w:szCs w:val="24"/>
        </w:rPr>
        <w:t xml:space="preserve">Tracee </w:t>
      </w:r>
      <w:r w:rsidR="00F422D1">
        <w:rPr>
          <w:rFonts w:cstheme="minorHAnsi"/>
          <w:sz w:val="24"/>
          <w:szCs w:val="24"/>
        </w:rPr>
        <w:t>Nelley, President, Agender NZ</w:t>
      </w:r>
    </w:p>
    <w:p w14:paraId="45F18A8A" w14:textId="77777777" w:rsidR="007414CD" w:rsidRDefault="007414CD" w:rsidP="006522B6">
      <w:pPr>
        <w:spacing w:after="20" w:line="250" w:lineRule="auto"/>
        <w:ind w:right="-330"/>
        <w:rPr>
          <w:rFonts w:cstheme="minorHAnsi"/>
          <w:sz w:val="24"/>
          <w:szCs w:val="24"/>
        </w:rPr>
      </w:pPr>
      <w:r w:rsidRPr="00F113FC">
        <w:rPr>
          <w:rFonts w:cstheme="minorHAnsi"/>
          <w:sz w:val="24"/>
          <w:szCs w:val="24"/>
        </w:rPr>
        <w:t>Phylesha Brown-Acton, Managing Director, F’INE</w:t>
      </w:r>
    </w:p>
    <w:p w14:paraId="3DEE2CD7" w14:textId="4F504EDB" w:rsidR="007F1C22" w:rsidRDefault="007F1C22" w:rsidP="006522B6">
      <w:pPr>
        <w:spacing w:after="20" w:line="250" w:lineRule="auto"/>
        <w:ind w:right="-330"/>
        <w:rPr>
          <w:rFonts w:cstheme="minorHAnsi"/>
          <w:sz w:val="24"/>
          <w:szCs w:val="24"/>
        </w:rPr>
      </w:pPr>
      <w:r>
        <w:rPr>
          <w:rFonts w:cstheme="minorHAnsi"/>
          <w:sz w:val="24"/>
          <w:szCs w:val="24"/>
        </w:rPr>
        <w:t xml:space="preserve">Soul Mehlhopt, </w:t>
      </w:r>
      <w:r w:rsidR="00F40454">
        <w:rPr>
          <w:rFonts w:cstheme="minorHAnsi"/>
          <w:sz w:val="24"/>
          <w:szCs w:val="24"/>
        </w:rPr>
        <w:t xml:space="preserve">Co-ordinator, Transcend, </w:t>
      </w:r>
      <w:proofErr w:type="spellStart"/>
      <w:r w:rsidR="00F40454">
        <w:rPr>
          <w:rFonts w:cstheme="minorHAnsi"/>
          <w:sz w:val="24"/>
          <w:szCs w:val="24"/>
        </w:rPr>
        <w:t>Manawatū</w:t>
      </w:r>
      <w:proofErr w:type="spellEnd"/>
    </w:p>
    <w:p w14:paraId="56EE0A8A" w14:textId="577C588C" w:rsidR="00FA2074" w:rsidRDefault="00FA2074" w:rsidP="006522B6">
      <w:pPr>
        <w:spacing w:after="20" w:line="250" w:lineRule="auto"/>
        <w:ind w:right="-330"/>
        <w:rPr>
          <w:rFonts w:cstheme="minorHAnsi"/>
          <w:sz w:val="24"/>
          <w:szCs w:val="24"/>
        </w:rPr>
      </w:pPr>
      <w:r>
        <w:rPr>
          <w:rFonts w:cstheme="minorHAnsi"/>
          <w:sz w:val="24"/>
          <w:szCs w:val="24"/>
        </w:rPr>
        <w:t>Michelle Smeaton</w:t>
      </w:r>
      <w:r w:rsidR="00050771">
        <w:rPr>
          <w:rFonts w:cstheme="minorHAnsi"/>
          <w:sz w:val="24"/>
          <w:szCs w:val="24"/>
        </w:rPr>
        <w:t xml:space="preserve">, Secretary, </w:t>
      </w:r>
      <w:proofErr w:type="spellStart"/>
      <w:r w:rsidR="00050771">
        <w:rPr>
          <w:rFonts w:cstheme="minorHAnsi"/>
          <w:sz w:val="24"/>
          <w:szCs w:val="24"/>
        </w:rPr>
        <w:t>Tranzaction</w:t>
      </w:r>
      <w:proofErr w:type="spellEnd"/>
      <w:r w:rsidR="00050771">
        <w:rPr>
          <w:rFonts w:cstheme="minorHAnsi"/>
          <w:sz w:val="24"/>
          <w:szCs w:val="24"/>
        </w:rPr>
        <w:t>, Christchurch</w:t>
      </w:r>
    </w:p>
    <w:p w14:paraId="7720014B" w14:textId="77777777" w:rsidR="005F7A9C" w:rsidRPr="00F113FC" w:rsidRDefault="005F7A9C" w:rsidP="006522B6">
      <w:pPr>
        <w:autoSpaceDE w:val="0"/>
        <w:autoSpaceDN w:val="0"/>
        <w:adjustRightInd w:val="0"/>
        <w:spacing w:after="20" w:line="250" w:lineRule="auto"/>
        <w:ind w:right="-330"/>
        <w:rPr>
          <w:rFonts w:cstheme="minorHAnsi"/>
          <w:sz w:val="24"/>
          <w:szCs w:val="24"/>
        </w:rPr>
      </w:pPr>
      <w:r w:rsidRPr="00F113FC">
        <w:rPr>
          <w:rFonts w:cstheme="minorHAnsi"/>
          <w:sz w:val="24"/>
          <w:szCs w:val="24"/>
        </w:rPr>
        <w:t xml:space="preserve">Dr Jaimie Veale, Senior Lecturer, </w:t>
      </w:r>
      <w:r>
        <w:rPr>
          <w:rFonts w:cstheme="minorHAnsi"/>
          <w:sz w:val="24"/>
          <w:szCs w:val="24"/>
        </w:rPr>
        <w:t>S</w:t>
      </w:r>
      <w:r w:rsidRPr="00F113FC">
        <w:rPr>
          <w:rFonts w:cstheme="minorHAnsi"/>
          <w:sz w:val="24"/>
          <w:szCs w:val="24"/>
        </w:rPr>
        <w:t xml:space="preserve">chool of Psychology, </w:t>
      </w:r>
      <w:r w:rsidRPr="00F113FC">
        <w:rPr>
          <w:rFonts w:ascii="Calibri" w:hAnsi="Calibri" w:cs="Calibri"/>
          <w:sz w:val="24"/>
          <w:szCs w:val="24"/>
        </w:rPr>
        <w:t xml:space="preserve">University of Waikato / Te </w:t>
      </w:r>
      <w:proofErr w:type="spellStart"/>
      <w:r w:rsidRPr="00F113FC">
        <w:rPr>
          <w:rFonts w:ascii="Calibri" w:hAnsi="Calibri" w:cs="Calibri"/>
          <w:sz w:val="24"/>
          <w:szCs w:val="24"/>
        </w:rPr>
        <w:t>Whare</w:t>
      </w:r>
      <w:proofErr w:type="spellEnd"/>
      <w:r w:rsidRPr="00F113FC">
        <w:rPr>
          <w:rFonts w:ascii="Calibri" w:hAnsi="Calibri" w:cs="Calibri"/>
          <w:sz w:val="24"/>
          <w:szCs w:val="24"/>
        </w:rPr>
        <w:t xml:space="preserve"> Wānanga o Waikato</w:t>
      </w:r>
    </w:p>
    <w:p w14:paraId="21DE852C" w14:textId="7CC5E788" w:rsidR="005F7A9C" w:rsidRPr="00F113FC" w:rsidRDefault="005F7A9C" w:rsidP="006522B6">
      <w:pPr>
        <w:autoSpaceDE w:val="0"/>
        <w:autoSpaceDN w:val="0"/>
        <w:adjustRightInd w:val="0"/>
        <w:spacing w:after="20" w:line="250" w:lineRule="auto"/>
        <w:ind w:right="-330"/>
        <w:rPr>
          <w:rFonts w:ascii="Calibri" w:hAnsi="Calibri" w:cs="Calibri"/>
          <w:sz w:val="24"/>
          <w:szCs w:val="24"/>
        </w:rPr>
      </w:pPr>
      <w:r w:rsidRPr="00F113FC">
        <w:rPr>
          <w:rFonts w:cstheme="minorHAnsi"/>
          <w:sz w:val="24"/>
          <w:szCs w:val="24"/>
        </w:rPr>
        <w:t xml:space="preserve">Tom Hamilton, </w:t>
      </w:r>
      <w:r w:rsidRPr="00F113FC">
        <w:rPr>
          <w:rFonts w:ascii="Calibri" w:hAnsi="Calibri" w:cs="Calibri"/>
          <w:sz w:val="24"/>
          <w:szCs w:val="24"/>
        </w:rPr>
        <w:t>Counsellor, OUTLine NZ</w:t>
      </w:r>
      <w:r w:rsidR="00FA2074">
        <w:rPr>
          <w:rFonts w:ascii="Calibri" w:hAnsi="Calibri" w:cs="Calibri"/>
          <w:sz w:val="24"/>
          <w:szCs w:val="24"/>
        </w:rPr>
        <w:t xml:space="preserve"> and</w:t>
      </w:r>
      <w:r w:rsidRPr="00F113FC">
        <w:rPr>
          <w:rFonts w:ascii="Calibri" w:hAnsi="Calibri" w:cs="Calibri"/>
          <w:sz w:val="24"/>
          <w:szCs w:val="24"/>
        </w:rPr>
        <w:t xml:space="preserve"> project collaborator, </w:t>
      </w:r>
      <w:proofErr w:type="spellStart"/>
      <w:proofErr w:type="gramStart"/>
      <w:r w:rsidRPr="00F113FC">
        <w:rPr>
          <w:rFonts w:ascii="Calibri" w:hAnsi="Calibri" w:cs="Calibri"/>
          <w:sz w:val="24"/>
          <w:szCs w:val="24"/>
        </w:rPr>
        <w:t>re.frame</w:t>
      </w:r>
      <w:proofErr w:type="spellEnd"/>
      <w:proofErr w:type="gramEnd"/>
    </w:p>
    <w:p w14:paraId="70A7A440" w14:textId="15717F16" w:rsidR="005F7A9C" w:rsidRDefault="005F7A9C" w:rsidP="006522B6">
      <w:pPr>
        <w:autoSpaceDE w:val="0"/>
        <w:autoSpaceDN w:val="0"/>
        <w:adjustRightInd w:val="0"/>
        <w:spacing w:after="20" w:line="250" w:lineRule="auto"/>
        <w:ind w:right="-330"/>
        <w:rPr>
          <w:rFonts w:cstheme="minorHAnsi"/>
          <w:sz w:val="24"/>
          <w:szCs w:val="24"/>
        </w:rPr>
      </w:pPr>
      <w:r w:rsidRPr="00F113FC">
        <w:rPr>
          <w:rFonts w:cstheme="minorHAnsi"/>
          <w:sz w:val="24"/>
          <w:szCs w:val="24"/>
        </w:rPr>
        <w:t xml:space="preserve">Jack Byrne, Research Officer, Aotearoa New Zealand </w:t>
      </w:r>
      <w:r>
        <w:rPr>
          <w:rFonts w:cstheme="minorHAnsi"/>
          <w:sz w:val="24"/>
          <w:szCs w:val="24"/>
        </w:rPr>
        <w:t xml:space="preserve">Trans and Non-binary </w:t>
      </w:r>
      <w:r w:rsidRPr="00F113FC">
        <w:rPr>
          <w:rFonts w:cstheme="minorHAnsi"/>
          <w:sz w:val="24"/>
          <w:szCs w:val="24"/>
        </w:rPr>
        <w:t>Health Survey</w:t>
      </w:r>
    </w:p>
    <w:p w14:paraId="4929E814" w14:textId="37AE9826" w:rsidR="002A0988" w:rsidRDefault="002A0988" w:rsidP="006522B6">
      <w:pPr>
        <w:spacing w:after="20" w:line="250" w:lineRule="auto"/>
        <w:ind w:right="-330"/>
        <w:rPr>
          <w:rFonts w:cstheme="minorHAnsi"/>
          <w:sz w:val="24"/>
          <w:szCs w:val="24"/>
        </w:rPr>
      </w:pPr>
      <w:r>
        <w:rPr>
          <w:rFonts w:cstheme="minorHAnsi"/>
          <w:sz w:val="24"/>
          <w:szCs w:val="24"/>
        </w:rPr>
        <w:t xml:space="preserve">Sharyn Forsyth, Co-ordinator, NZ Parents and </w:t>
      </w:r>
      <w:r w:rsidR="0097333D">
        <w:rPr>
          <w:rFonts w:cstheme="minorHAnsi"/>
          <w:sz w:val="24"/>
          <w:szCs w:val="24"/>
        </w:rPr>
        <w:t>C</w:t>
      </w:r>
      <w:r>
        <w:rPr>
          <w:rFonts w:cstheme="minorHAnsi"/>
          <w:sz w:val="24"/>
          <w:szCs w:val="24"/>
        </w:rPr>
        <w:t xml:space="preserve">aregivers of </w:t>
      </w:r>
      <w:r w:rsidR="008A664B">
        <w:rPr>
          <w:rFonts w:cstheme="minorHAnsi"/>
          <w:sz w:val="24"/>
          <w:szCs w:val="24"/>
        </w:rPr>
        <w:t xml:space="preserve">Transgender and Gender Diverse Children </w:t>
      </w:r>
    </w:p>
    <w:p w14:paraId="53B74BA8" w14:textId="1ECC8596" w:rsidR="003B3820" w:rsidRPr="003B3820" w:rsidRDefault="003B3820" w:rsidP="006522B6">
      <w:pPr>
        <w:spacing w:after="20" w:line="250" w:lineRule="auto"/>
        <w:ind w:right="-330"/>
        <w:rPr>
          <w:rFonts w:cstheme="minorHAnsi"/>
          <w:sz w:val="24"/>
          <w:szCs w:val="24"/>
        </w:rPr>
      </w:pPr>
      <w:r w:rsidRPr="003B3820">
        <w:rPr>
          <w:rFonts w:cstheme="minorHAnsi"/>
          <w:sz w:val="24"/>
          <w:szCs w:val="24"/>
        </w:rPr>
        <w:t>Nick Winchester</w:t>
      </w:r>
      <w:r>
        <w:rPr>
          <w:rFonts w:cstheme="minorHAnsi"/>
          <w:sz w:val="24"/>
          <w:szCs w:val="24"/>
        </w:rPr>
        <w:t xml:space="preserve">, </w:t>
      </w:r>
      <w:r w:rsidRPr="003B3820">
        <w:rPr>
          <w:rFonts w:cstheme="minorHAnsi"/>
          <w:sz w:val="24"/>
          <w:szCs w:val="24"/>
        </w:rPr>
        <w:t>Mentor / Founder</w:t>
      </w:r>
      <w:r>
        <w:rPr>
          <w:rFonts w:cstheme="minorHAnsi"/>
          <w:sz w:val="24"/>
          <w:szCs w:val="24"/>
        </w:rPr>
        <w:t xml:space="preserve">, </w:t>
      </w:r>
      <w:r w:rsidRPr="003B3820">
        <w:rPr>
          <w:rFonts w:cstheme="minorHAnsi"/>
          <w:sz w:val="24"/>
          <w:szCs w:val="24"/>
        </w:rPr>
        <w:t>Kindred</w:t>
      </w:r>
      <w:r>
        <w:rPr>
          <w:rFonts w:cstheme="minorHAnsi"/>
          <w:sz w:val="24"/>
          <w:szCs w:val="24"/>
        </w:rPr>
        <w:t>, Christchurch</w:t>
      </w:r>
    </w:p>
    <w:p w14:paraId="7A8AECA3" w14:textId="77777777" w:rsidR="007414CD" w:rsidRPr="00EC5C7B" w:rsidRDefault="007414CD" w:rsidP="006522B6">
      <w:pPr>
        <w:spacing w:after="20" w:line="250" w:lineRule="auto"/>
        <w:ind w:right="-330"/>
        <w:rPr>
          <w:rFonts w:cstheme="minorHAnsi"/>
          <w:sz w:val="24"/>
          <w:szCs w:val="24"/>
        </w:rPr>
      </w:pPr>
      <w:r>
        <w:rPr>
          <w:rFonts w:cstheme="minorHAnsi"/>
          <w:sz w:val="24"/>
          <w:szCs w:val="24"/>
        </w:rPr>
        <w:t>Elizabeth Kerekere and Kevin Haunui, Chair and Deputy Chair, Tīwhanawhana Trust</w:t>
      </w:r>
    </w:p>
    <w:p w14:paraId="3EA9F0D9" w14:textId="581903BE" w:rsidR="00B8495D" w:rsidRDefault="00B8495D" w:rsidP="006522B6">
      <w:pPr>
        <w:spacing w:after="20" w:line="250" w:lineRule="auto"/>
        <w:ind w:right="-330"/>
        <w:rPr>
          <w:rFonts w:cstheme="minorHAnsi"/>
          <w:sz w:val="24"/>
          <w:szCs w:val="24"/>
        </w:rPr>
      </w:pPr>
      <w:r>
        <w:rPr>
          <w:rFonts w:cstheme="minorHAnsi"/>
          <w:sz w:val="24"/>
          <w:szCs w:val="24"/>
        </w:rPr>
        <w:t xml:space="preserve">Duncan Matthews, Manager, OutLine NZ </w:t>
      </w:r>
      <w:r w:rsidR="0097333D">
        <w:rPr>
          <w:rFonts w:cstheme="minorHAnsi"/>
          <w:sz w:val="24"/>
          <w:szCs w:val="24"/>
        </w:rPr>
        <w:t>I</w:t>
      </w:r>
      <w:r>
        <w:rPr>
          <w:rFonts w:cstheme="minorHAnsi"/>
          <w:sz w:val="24"/>
          <w:szCs w:val="24"/>
        </w:rPr>
        <w:t>nc</w:t>
      </w:r>
      <w:r w:rsidR="007F1C22">
        <w:rPr>
          <w:rFonts w:cstheme="minorHAnsi"/>
          <w:sz w:val="24"/>
          <w:szCs w:val="24"/>
        </w:rPr>
        <w:t>.</w:t>
      </w:r>
    </w:p>
    <w:p w14:paraId="7196F13E" w14:textId="4B28D42D" w:rsidR="00B83269" w:rsidRDefault="00F857F3" w:rsidP="006522B6">
      <w:pPr>
        <w:spacing w:after="20" w:line="250" w:lineRule="auto"/>
        <w:ind w:right="-330"/>
        <w:rPr>
          <w:rFonts w:cstheme="minorHAnsi"/>
          <w:sz w:val="24"/>
          <w:szCs w:val="24"/>
        </w:rPr>
      </w:pPr>
      <w:r>
        <w:rPr>
          <w:rFonts w:cstheme="minorHAnsi"/>
          <w:sz w:val="24"/>
          <w:szCs w:val="24"/>
        </w:rPr>
        <w:t>Frances Arns, Chief Executive</w:t>
      </w:r>
      <w:r w:rsidR="00170BB3">
        <w:rPr>
          <w:rFonts w:cstheme="minorHAnsi"/>
          <w:sz w:val="24"/>
          <w:szCs w:val="24"/>
        </w:rPr>
        <w:t>, RainbowYOUTH</w:t>
      </w:r>
    </w:p>
    <w:p w14:paraId="73B2ABCE" w14:textId="7A60A3D1" w:rsidR="00F07D29" w:rsidRDefault="00F07D29" w:rsidP="006522B6">
      <w:pPr>
        <w:spacing w:after="20" w:line="250" w:lineRule="auto"/>
        <w:ind w:right="-330"/>
        <w:rPr>
          <w:rFonts w:cstheme="minorHAnsi"/>
          <w:sz w:val="24"/>
          <w:szCs w:val="24"/>
        </w:rPr>
      </w:pPr>
      <w:r>
        <w:rPr>
          <w:rFonts w:cstheme="minorHAnsi"/>
          <w:sz w:val="24"/>
          <w:szCs w:val="24"/>
        </w:rPr>
        <w:t xml:space="preserve">Tabby Besley, National Co-ordinator, </w:t>
      </w:r>
      <w:r w:rsidR="00B83269">
        <w:rPr>
          <w:rFonts w:cstheme="minorHAnsi"/>
          <w:sz w:val="24"/>
          <w:szCs w:val="24"/>
        </w:rPr>
        <w:t>InsideOUT</w:t>
      </w:r>
    </w:p>
    <w:p w14:paraId="29C29761" w14:textId="2F999ACD" w:rsidR="00F66126" w:rsidRDefault="00F66126" w:rsidP="006522B6">
      <w:pPr>
        <w:spacing w:after="20" w:line="250" w:lineRule="auto"/>
        <w:ind w:right="-330"/>
        <w:rPr>
          <w:sz w:val="24"/>
          <w:szCs w:val="24"/>
        </w:rPr>
      </w:pPr>
      <w:r w:rsidRPr="00F66126">
        <w:rPr>
          <w:sz w:val="24"/>
          <w:szCs w:val="24"/>
        </w:rPr>
        <w:t>Jem Traylen, Trans Secretariat/Board Member, Rainbow Wellington</w:t>
      </w:r>
    </w:p>
    <w:p w14:paraId="1B977D40" w14:textId="67CAEEFC" w:rsidR="00582798" w:rsidRPr="00582798" w:rsidRDefault="00582798" w:rsidP="006522B6">
      <w:pPr>
        <w:spacing w:after="20" w:line="250" w:lineRule="auto"/>
        <w:ind w:right="-330"/>
        <w:rPr>
          <w:rFonts w:cstheme="minorHAnsi"/>
          <w:sz w:val="24"/>
          <w:szCs w:val="24"/>
        </w:rPr>
      </w:pPr>
      <w:r w:rsidRPr="00582798">
        <w:rPr>
          <w:sz w:val="24"/>
          <w:szCs w:val="24"/>
        </w:rPr>
        <w:t xml:space="preserve">Jevon Wright, Treasurer, </w:t>
      </w:r>
      <w:proofErr w:type="spellStart"/>
      <w:r w:rsidRPr="00582798">
        <w:rPr>
          <w:sz w:val="24"/>
          <w:szCs w:val="24"/>
        </w:rPr>
        <w:t>OuterSpaces</w:t>
      </w:r>
      <w:proofErr w:type="spellEnd"/>
      <w:r w:rsidRPr="00582798">
        <w:rPr>
          <w:sz w:val="24"/>
          <w:szCs w:val="24"/>
        </w:rPr>
        <w:t xml:space="preserve"> Charitable Trust</w:t>
      </w:r>
      <w:r>
        <w:rPr>
          <w:sz w:val="24"/>
          <w:szCs w:val="24"/>
        </w:rPr>
        <w:t>, Wellington</w:t>
      </w:r>
    </w:p>
    <w:p w14:paraId="47203BD1" w14:textId="77777777" w:rsidR="00A05B0B" w:rsidRDefault="00A05B0B" w:rsidP="006522B6">
      <w:pPr>
        <w:spacing w:after="20" w:line="250" w:lineRule="auto"/>
        <w:ind w:right="-330"/>
        <w:rPr>
          <w:rFonts w:cstheme="minorHAnsi"/>
          <w:sz w:val="24"/>
          <w:szCs w:val="24"/>
        </w:rPr>
      </w:pPr>
      <w:r>
        <w:rPr>
          <w:rFonts w:cstheme="minorHAnsi"/>
          <w:sz w:val="24"/>
          <w:szCs w:val="24"/>
        </w:rPr>
        <w:t>Amanda Ashley, Founder, Rodney Area Rainbow LGBTQ+</w:t>
      </w:r>
    </w:p>
    <w:p w14:paraId="4E1F8B23" w14:textId="01CFC0DC" w:rsidR="00B801AC" w:rsidRDefault="00E074B0" w:rsidP="006522B6">
      <w:pPr>
        <w:spacing w:after="20" w:line="250" w:lineRule="auto"/>
        <w:ind w:right="-330"/>
        <w:rPr>
          <w:rFonts w:cstheme="minorHAnsi"/>
          <w:sz w:val="24"/>
          <w:szCs w:val="24"/>
        </w:rPr>
      </w:pPr>
      <w:r w:rsidRPr="00E074B0">
        <w:rPr>
          <w:rFonts w:cstheme="minorHAnsi"/>
          <w:sz w:val="24"/>
          <w:szCs w:val="24"/>
        </w:rPr>
        <w:t>Warren Lindberg</w:t>
      </w:r>
      <w:r>
        <w:rPr>
          <w:rFonts w:cstheme="minorHAnsi"/>
          <w:sz w:val="24"/>
          <w:szCs w:val="24"/>
        </w:rPr>
        <w:t xml:space="preserve">, </w:t>
      </w:r>
      <w:r w:rsidRPr="00E074B0">
        <w:rPr>
          <w:rFonts w:cstheme="minorHAnsi"/>
          <w:sz w:val="24"/>
          <w:szCs w:val="24"/>
        </w:rPr>
        <w:t>Chief Executive Officer</w:t>
      </w:r>
      <w:r>
        <w:rPr>
          <w:rFonts w:cstheme="minorHAnsi"/>
          <w:sz w:val="24"/>
          <w:szCs w:val="24"/>
        </w:rPr>
        <w:t xml:space="preserve">, </w:t>
      </w:r>
      <w:r w:rsidRPr="00E074B0">
        <w:rPr>
          <w:rFonts w:cstheme="minorHAnsi"/>
          <w:sz w:val="24"/>
          <w:szCs w:val="24"/>
        </w:rPr>
        <w:t>Public Health Association of New Zealand</w:t>
      </w:r>
    </w:p>
    <w:p w14:paraId="1A2657EB" w14:textId="4011F2E0" w:rsidR="00886C67" w:rsidRDefault="00886C67" w:rsidP="006522B6">
      <w:pPr>
        <w:spacing w:after="20" w:line="250" w:lineRule="auto"/>
        <w:ind w:right="-330"/>
        <w:rPr>
          <w:rFonts w:cstheme="minorHAnsi"/>
          <w:sz w:val="24"/>
          <w:szCs w:val="24"/>
        </w:rPr>
      </w:pPr>
      <w:r>
        <w:rPr>
          <w:rFonts w:cstheme="minorHAnsi"/>
          <w:sz w:val="24"/>
          <w:szCs w:val="24"/>
        </w:rPr>
        <w:t xml:space="preserve">George Parker, </w:t>
      </w:r>
      <w:r w:rsidR="0097333D">
        <w:rPr>
          <w:rFonts w:cstheme="minorHAnsi"/>
          <w:sz w:val="24"/>
          <w:szCs w:val="24"/>
        </w:rPr>
        <w:t xml:space="preserve">Strategic Advisor, Women’s Health Action </w:t>
      </w:r>
    </w:p>
    <w:p w14:paraId="647E89CD" w14:textId="7711A433" w:rsidR="00E074B0" w:rsidRDefault="00053E5E" w:rsidP="006522B6">
      <w:pPr>
        <w:spacing w:after="20" w:line="250" w:lineRule="auto"/>
        <w:ind w:right="-330"/>
        <w:rPr>
          <w:rFonts w:cstheme="minorHAnsi"/>
          <w:sz w:val="24"/>
          <w:szCs w:val="24"/>
        </w:rPr>
      </w:pPr>
      <w:r>
        <w:rPr>
          <w:rFonts w:cstheme="minorHAnsi"/>
          <w:sz w:val="24"/>
          <w:szCs w:val="24"/>
        </w:rPr>
        <w:t xml:space="preserve">Conor Twyford, </w:t>
      </w:r>
      <w:r w:rsidR="00B37DD3">
        <w:rPr>
          <w:rFonts w:cstheme="minorHAnsi"/>
          <w:sz w:val="24"/>
          <w:szCs w:val="24"/>
        </w:rPr>
        <w:t xml:space="preserve">Chief Executive / Kaiwhakahaere, Wellington </w:t>
      </w:r>
      <w:r w:rsidR="00885250">
        <w:rPr>
          <w:rFonts w:cstheme="minorHAnsi"/>
          <w:sz w:val="24"/>
          <w:szCs w:val="24"/>
        </w:rPr>
        <w:t>Sexual Abuse HELP</w:t>
      </w:r>
    </w:p>
    <w:p w14:paraId="607C6D30" w14:textId="0DEBF6FA" w:rsidR="005D43A4" w:rsidRDefault="000752BF" w:rsidP="006522B6">
      <w:pPr>
        <w:spacing w:after="20" w:line="250" w:lineRule="auto"/>
        <w:ind w:right="-330"/>
        <w:rPr>
          <w:rFonts w:cstheme="minorHAnsi"/>
          <w:sz w:val="24"/>
          <w:szCs w:val="24"/>
        </w:rPr>
      </w:pPr>
      <w:r>
        <w:rPr>
          <w:rFonts w:cstheme="minorHAnsi"/>
          <w:sz w:val="24"/>
          <w:szCs w:val="24"/>
        </w:rPr>
        <w:t>Richard Tankersley, the Uprising Trust</w:t>
      </w:r>
      <w:r w:rsidR="000E65F5">
        <w:rPr>
          <w:rFonts w:cstheme="minorHAnsi"/>
          <w:sz w:val="24"/>
          <w:szCs w:val="24"/>
        </w:rPr>
        <w:t xml:space="preserve">, </w:t>
      </w:r>
      <w:r w:rsidR="00D43C86">
        <w:rPr>
          <w:rFonts w:cstheme="minorHAnsi"/>
          <w:sz w:val="24"/>
          <w:szCs w:val="24"/>
        </w:rPr>
        <w:t xml:space="preserve">Christchurch </w:t>
      </w:r>
      <w:r w:rsidR="000E65F5">
        <w:rPr>
          <w:rFonts w:cstheme="minorHAnsi"/>
          <w:sz w:val="24"/>
          <w:szCs w:val="24"/>
        </w:rPr>
        <w:t>and former Human Rights Commissioner</w:t>
      </w:r>
    </w:p>
    <w:p w14:paraId="320E6FA3" w14:textId="5F87440F" w:rsidR="00B801AC" w:rsidRDefault="00B801AC" w:rsidP="006522B6">
      <w:pPr>
        <w:spacing w:after="20" w:line="250" w:lineRule="auto"/>
        <w:ind w:right="-330"/>
        <w:rPr>
          <w:rFonts w:cstheme="minorHAnsi"/>
          <w:sz w:val="24"/>
          <w:szCs w:val="24"/>
        </w:rPr>
      </w:pPr>
      <w:r>
        <w:rPr>
          <w:rFonts w:cstheme="minorHAnsi"/>
          <w:sz w:val="24"/>
          <w:szCs w:val="24"/>
        </w:rPr>
        <w:t>Rosslyn Noonan, former Chief Human Rights Commissioner</w:t>
      </w:r>
    </w:p>
    <w:p w14:paraId="634AEAF5" w14:textId="4D69B962" w:rsidR="009D1557" w:rsidRDefault="00352381" w:rsidP="006522B6">
      <w:pPr>
        <w:spacing w:after="20" w:line="250" w:lineRule="auto"/>
        <w:ind w:right="-330"/>
        <w:rPr>
          <w:rFonts w:cstheme="minorHAnsi"/>
          <w:sz w:val="24"/>
          <w:szCs w:val="24"/>
        </w:rPr>
      </w:pPr>
      <w:r>
        <w:rPr>
          <w:rFonts w:cstheme="minorHAnsi"/>
          <w:sz w:val="24"/>
          <w:szCs w:val="24"/>
        </w:rPr>
        <w:t>Dame Margaret Sparrow</w:t>
      </w:r>
    </w:p>
    <w:p w14:paraId="01FA5221" w14:textId="77777777" w:rsidR="004D14E8" w:rsidRPr="004D14E8" w:rsidRDefault="004D14E8" w:rsidP="006522B6">
      <w:pPr>
        <w:spacing w:after="20" w:line="250" w:lineRule="auto"/>
        <w:ind w:right="-330"/>
        <w:rPr>
          <w:rFonts w:cstheme="minorHAnsi"/>
          <w:sz w:val="24"/>
          <w:szCs w:val="24"/>
        </w:rPr>
      </w:pPr>
      <w:r w:rsidRPr="004D14E8">
        <w:rPr>
          <w:rFonts w:cstheme="minorHAnsi"/>
          <w:sz w:val="24"/>
          <w:szCs w:val="24"/>
        </w:rPr>
        <w:t>Dame Catherine Healy, National Coordinator, New Zealand Prostitutes' Collective</w:t>
      </w:r>
    </w:p>
    <w:p w14:paraId="6BF9D597" w14:textId="10376831" w:rsidR="00352381" w:rsidRDefault="00F422D1" w:rsidP="006522B6">
      <w:pPr>
        <w:spacing w:after="20" w:line="250" w:lineRule="auto"/>
        <w:ind w:right="-330"/>
        <w:rPr>
          <w:rFonts w:cstheme="minorHAnsi"/>
          <w:sz w:val="24"/>
          <w:szCs w:val="24"/>
        </w:rPr>
      </w:pPr>
      <w:r>
        <w:rPr>
          <w:rFonts w:cstheme="minorHAnsi"/>
          <w:sz w:val="24"/>
          <w:szCs w:val="24"/>
        </w:rPr>
        <w:t>Professor Elizabeth Mc</w:t>
      </w:r>
      <w:r w:rsidR="00480056">
        <w:rPr>
          <w:rFonts w:cstheme="minorHAnsi"/>
          <w:sz w:val="24"/>
          <w:szCs w:val="24"/>
        </w:rPr>
        <w:t>D</w:t>
      </w:r>
      <w:r>
        <w:rPr>
          <w:rFonts w:cstheme="minorHAnsi"/>
          <w:sz w:val="24"/>
          <w:szCs w:val="24"/>
        </w:rPr>
        <w:t>onald</w:t>
      </w:r>
      <w:r w:rsidR="00480056">
        <w:rPr>
          <w:rFonts w:cstheme="minorHAnsi"/>
          <w:sz w:val="24"/>
          <w:szCs w:val="24"/>
        </w:rPr>
        <w:t xml:space="preserve"> MNZM, School of </w:t>
      </w:r>
      <w:r w:rsidR="00C27A03">
        <w:rPr>
          <w:rFonts w:cstheme="minorHAnsi"/>
          <w:sz w:val="24"/>
          <w:szCs w:val="24"/>
        </w:rPr>
        <w:t>L</w:t>
      </w:r>
      <w:r w:rsidR="00480056">
        <w:rPr>
          <w:rFonts w:cstheme="minorHAnsi"/>
          <w:sz w:val="24"/>
          <w:szCs w:val="24"/>
        </w:rPr>
        <w:t>aw, University of Canterbury</w:t>
      </w:r>
      <w:r>
        <w:rPr>
          <w:rFonts w:cstheme="minorHAnsi"/>
          <w:sz w:val="24"/>
          <w:szCs w:val="24"/>
        </w:rPr>
        <w:t xml:space="preserve"> </w:t>
      </w:r>
    </w:p>
    <w:p w14:paraId="60052877" w14:textId="3C1C8425" w:rsidR="00604A75" w:rsidRDefault="00604A75" w:rsidP="006522B6">
      <w:pPr>
        <w:spacing w:after="20" w:line="250" w:lineRule="auto"/>
        <w:ind w:right="-330"/>
        <w:rPr>
          <w:rFonts w:cstheme="minorHAnsi"/>
          <w:sz w:val="24"/>
          <w:szCs w:val="24"/>
        </w:rPr>
      </w:pPr>
      <w:r w:rsidRPr="00F113FC">
        <w:rPr>
          <w:rFonts w:cstheme="minorHAnsi"/>
          <w:sz w:val="24"/>
          <w:szCs w:val="24"/>
        </w:rPr>
        <w:t>Sally Dellow</w:t>
      </w:r>
    </w:p>
    <w:p w14:paraId="2D06639F" w14:textId="10234367" w:rsidR="00294569" w:rsidRDefault="00294569" w:rsidP="006522B6">
      <w:pPr>
        <w:spacing w:after="20" w:line="250" w:lineRule="auto"/>
        <w:ind w:right="-330"/>
        <w:rPr>
          <w:rFonts w:cstheme="minorHAnsi"/>
          <w:sz w:val="24"/>
          <w:szCs w:val="24"/>
        </w:rPr>
      </w:pPr>
      <w:r w:rsidRPr="006B6652">
        <w:rPr>
          <w:rFonts w:cstheme="minorHAnsi"/>
          <w:sz w:val="24"/>
          <w:szCs w:val="24"/>
        </w:rPr>
        <w:t>Allyson Hamblett</w:t>
      </w:r>
    </w:p>
    <w:p w14:paraId="40EE4681" w14:textId="77777777" w:rsidR="00604A75" w:rsidRDefault="00604A75" w:rsidP="006522B6">
      <w:pPr>
        <w:spacing w:after="20" w:line="250" w:lineRule="auto"/>
        <w:ind w:right="-330"/>
        <w:rPr>
          <w:rFonts w:cstheme="minorHAnsi"/>
          <w:sz w:val="24"/>
          <w:szCs w:val="24"/>
        </w:rPr>
      </w:pPr>
      <w:r>
        <w:rPr>
          <w:rFonts w:cstheme="minorHAnsi"/>
          <w:sz w:val="24"/>
          <w:szCs w:val="24"/>
        </w:rPr>
        <w:t>Claudia Mckay</w:t>
      </w:r>
    </w:p>
    <w:p w14:paraId="1013A493" w14:textId="09D6C09C" w:rsidR="00604A75" w:rsidRDefault="00604A75" w:rsidP="006522B6">
      <w:pPr>
        <w:spacing w:after="20" w:line="250" w:lineRule="auto"/>
        <w:ind w:right="-330"/>
        <w:rPr>
          <w:rFonts w:cstheme="minorHAnsi"/>
          <w:sz w:val="24"/>
          <w:szCs w:val="24"/>
        </w:rPr>
      </w:pPr>
      <w:r>
        <w:rPr>
          <w:rFonts w:cstheme="minorHAnsi"/>
          <w:sz w:val="24"/>
          <w:szCs w:val="24"/>
        </w:rPr>
        <w:t>Cathy Parker</w:t>
      </w:r>
    </w:p>
    <w:p w14:paraId="0EA7CAEF" w14:textId="4AE0C78E" w:rsidR="00294569" w:rsidRPr="00F113FC" w:rsidRDefault="00294569" w:rsidP="006522B6">
      <w:pPr>
        <w:spacing w:after="20" w:line="250" w:lineRule="auto"/>
        <w:ind w:right="-330"/>
        <w:rPr>
          <w:rFonts w:cstheme="minorHAnsi"/>
          <w:sz w:val="24"/>
          <w:szCs w:val="24"/>
        </w:rPr>
      </w:pPr>
      <w:r>
        <w:rPr>
          <w:rFonts w:cstheme="minorHAnsi"/>
          <w:sz w:val="24"/>
          <w:szCs w:val="24"/>
        </w:rPr>
        <w:t xml:space="preserve">Lynda </w:t>
      </w:r>
      <w:r w:rsidR="001F0964">
        <w:rPr>
          <w:rFonts w:cstheme="minorHAnsi"/>
          <w:sz w:val="24"/>
          <w:szCs w:val="24"/>
        </w:rPr>
        <w:t>Whitehead</w:t>
      </w:r>
    </w:p>
    <w:p w14:paraId="5C9D497B" w14:textId="753B3083" w:rsidR="00604A75" w:rsidRDefault="00604A75" w:rsidP="006522B6">
      <w:pPr>
        <w:spacing w:after="20" w:line="250" w:lineRule="auto"/>
        <w:ind w:right="-329"/>
        <w:rPr>
          <w:rFonts w:cstheme="minorHAnsi"/>
          <w:sz w:val="24"/>
          <w:szCs w:val="24"/>
        </w:rPr>
      </w:pPr>
      <w:r w:rsidRPr="00F113FC">
        <w:rPr>
          <w:rFonts w:cstheme="minorHAnsi"/>
          <w:sz w:val="24"/>
          <w:szCs w:val="24"/>
        </w:rPr>
        <w:t>Ally Wilson</w:t>
      </w:r>
    </w:p>
    <w:p w14:paraId="1918E8B9" w14:textId="77777777" w:rsidR="00604A75" w:rsidRPr="00F113FC" w:rsidRDefault="00604A75" w:rsidP="006522B6">
      <w:pPr>
        <w:spacing w:after="20" w:line="250" w:lineRule="auto"/>
        <w:ind w:right="-329"/>
        <w:rPr>
          <w:rFonts w:eastAsia="Times New Roman"/>
          <w:sz w:val="24"/>
          <w:szCs w:val="24"/>
          <w:lang w:val="en-US"/>
        </w:rPr>
      </w:pPr>
      <w:r w:rsidRPr="00F113FC">
        <w:rPr>
          <w:rFonts w:eastAsia="Times New Roman"/>
          <w:sz w:val="24"/>
          <w:szCs w:val="24"/>
          <w:lang w:val="en-US"/>
        </w:rPr>
        <w:t xml:space="preserve">Aych McArdle </w:t>
      </w:r>
    </w:p>
    <w:p w14:paraId="6BA4D067" w14:textId="24D2747E" w:rsidR="00604A75" w:rsidRDefault="00604A75" w:rsidP="006522B6">
      <w:pPr>
        <w:spacing w:after="20" w:line="250" w:lineRule="auto"/>
        <w:ind w:right="-329"/>
        <w:rPr>
          <w:rFonts w:cstheme="minorHAnsi"/>
          <w:sz w:val="24"/>
          <w:szCs w:val="24"/>
        </w:rPr>
      </w:pPr>
      <w:r w:rsidRPr="00F113FC">
        <w:rPr>
          <w:rFonts w:cstheme="minorHAnsi"/>
          <w:sz w:val="24"/>
          <w:szCs w:val="24"/>
        </w:rPr>
        <w:t xml:space="preserve">Joey Macdonald </w:t>
      </w:r>
    </w:p>
    <w:p w14:paraId="38CBC371" w14:textId="2DAFC69E" w:rsidR="00A255A7" w:rsidRPr="00F113FC" w:rsidRDefault="000610AD" w:rsidP="006522B6">
      <w:pPr>
        <w:spacing w:after="20" w:line="250" w:lineRule="auto"/>
        <w:ind w:right="-329"/>
        <w:rPr>
          <w:rFonts w:cstheme="minorHAnsi"/>
          <w:sz w:val="24"/>
          <w:szCs w:val="24"/>
        </w:rPr>
      </w:pPr>
      <w:r>
        <w:rPr>
          <w:rFonts w:cstheme="minorHAnsi"/>
          <w:sz w:val="24"/>
          <w:szCs w:val="24"/>
        </w:rPr>
        <w:t>Griffin Nichol Madill</w:t>
      </w:r>
    </w:p>
    <w:p w14:paraId="2075C5D9" w14:textId="225384B7" w:rsidR="007A1AEA" w:rsidRPr="00F43BF0" w:rsidRDefault="00B83269" w:rsidP="006522B6">
      <w:pPr>
        <w:spacing w:after="20" w:line="250" w:lineRule="auto"/>
        <w:ind w:right="-330"/>
        <w:rPr>
          <w:sz w:val="24"/>
          <w:szCs w:val="24"/>
        </w:rPr>
      </w:pPr>
      <w:r w:rsidRPr="00F43BF0">
        <w:rPr>
          <w:sz w:val="24"/>
          <w:szCs w:val="24"/>
        </w:rPr>
        <w:t xml:space="preserve">Laura </w:t>
      </w:r>
      <w:r w:rsidR="00F43BF0" w:rsidRPr="00F43BF0">
        <w:rPr>
          <w:sz w:val="24"/>
          <w:szCs w:val="24"/>
        </w:rPr>
        <w:t>O’Connell Rapira</w:t>
      </w:r>
    </w:p>
    <w:sectPr w:rsidR="007A1AEA" w:rsidRPr="00F43BF0" w:rsidSect="004A4A41">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1BE0C" w14:textId="77777777" w:rsidR="00384B44" w:rsidRDefault="00384B44" w:rsidP="005D43A4">
      <w:pPr>
        <w:spacing w:after="0" w:line="240" w:lineRule="auto"/>
      </w:pPr>
      <w:r>
        <w:separator/>
      </w:r>
    </w:p>
  </w:endnote>
  <w:endnote w:type="continuationSeparator" w:id="0">
    <w:p w14:paraId="314E4C36" w14:textId="77777777" w:rsidR="00384B44" w:rsidRDefault="00384B44" w:rsidP="005D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974775"/>
      <w:docPartObj>
        <w:docPartGallery w:val="Page Numbers (Bottom of Page)"/>
        <w:docPartUnique/>
      </w:docPartObj>
    </w:sdtPr>
    <w:sdtEndPr>
      <w:rPr>
        <w:noProof/>
      </w:rPr>
    </w:sdtEndPr>
    <w:sdtContent>
      <w:p w14:paraId="3C09246F" w14:textId="12547F8E" w:rsidR="004A4A41" w:rsidRDefault="004A4A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AA081D" w14:textId="77777777" w:rsidR="004A4A41" w:rsidRDefault="004A4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5A981" w14:textId="77777777" w:rsidR="00384B44" w:rsidRDefault="00384B44" w:rsidP="005D43A4">
      <w:pPr>
        <w:spacing w:after="0" w:line="240" w:lineRule="auto"/>
      </w:pPr>
      <w:r>
        <w:separator/>
      </w:r>
    </w:p>
  </w:footnote>
  <w:footnote w:type="continuationSeparator" w:id="0">
    <w:p w14:paraId="5636DAEE" w14:textId="77777777" w:rsidR="00384B44" w:rsidRDefault="00384B44" w:rsidP="005D43A4">
      <w:pPr>
        <w:spacing w:after="0" w:line="240" w:lineRule="auto"/>
      </w:pPr>
      <w:r>
        <w:continuationSeparator/>
      </w:r>
    </w:p>
  </w:footnote>
  <w:footnote w:id="1">
    <w:p w14:paraId="26D60C24" w14:textId="17B64EDB" w:rsidR="001E4604" w:rsidRPr="00405C00" w:rsidRDefault="001E4604" w:rsidP="001E4604">
      <w:pPr>
        <w:pStyle w:val="FootnoteText"/>
        <w:rPr>
          <w:sz w:val="20"/>
          <w:szCs w:val="20"/>
          <w:lang w:val="mi-NZ"/>
        </w:rPr>
      </w:pPr>
      <w:r w:rsidRPr="00405C00">
        <w:rPr>
          <w:rStyle w:val="FootnoteReference"/>
          <w:sz w:val="20"/>
          <w:szCs w:val="20"/>
        </w:rPr>
        <w:footnoteRef/>
      </w:r>
      <w:r w:rsidRPr="00405C00">
        <w:rPr>
          <w:sz w:val="20"/>
          <w:szCs w:val="20"/>
        </w:rPr>
        <w:t xml:space="preserve"> </w:t>
      </w:r>
      <w:r w:rsidRPr="00405C00">
        <w:rPr>
          <w:rFonts w:eastAsia="Times New Roman"/>
          <w:sz w:val="20"/>
          <w:szCs w:val="20"/>
        </w:rPr>
        <w:t xml:space="preserve">There are many different terms used by </w:t>
      </w:r>
      <w:proofErr w:type="spellStart"/>
      <w:r w:rsidRPr="00405C00">
        <w:rPr>
          <w:rFonts w:eastAsia="Times New Roman"/>
          <w:sz w:val="20"/>
          <w:szCs w:val="20"/>
        </w:rPr>
        <w:t>takatāpui</w:t>
      </w:r>
      <w:proofErr w:type="spellEnd"/>
      <w:r w:rsidRPr="00405C00">
        <w:rPr>
          <w:rFonts w:eastAsia="Times New Roman"/>
          <w:sz w:val="20"/>
          <w:szCs w:val="20"/>
        </w:rPr>
        <w:t xml:space="preserve">, trans and non-binary people in Aotearoa </w:t>
      </w:r>
      <w:r w:rsidR="00683630" w:rsidRPr="00405C00">
        <w:rPr>
          <w:rFonts w:eastAsia="Times New Roman"/>
          <w:sz w:val="20"/>
          <w:szCs w:val="20"/>
        </w:rPr>
        <w:t xml:space="preserve">whose gender differs from their sex assigned at birth. These </w:t>
      </w:r>
      <w:r w:rsidRPr="00405C00">
        <w:rPr>
          <w:rFonts w:eastAsia="Times New Roman"/>
          <w:sz w:val="20"/>
          <w:szCs w:val="20"/>
        </w:rPr>
        <w:t>i</w:t>
      </w:r>
      <w:r w:rsidR="00683630" w:rsidRPr="00405C00">
        <w:rPr>
          <w:rFonts w:eastAsia="Times New Roman"/>
          <w:sz w:val="20"/>
          <w:szCs w:val="20"/>
        </w:rPr>
        <w:t>nclude</w:t>
      </w:r>
      <w:r w:rsidRPr="00405C00">
        <w:rPr>
          <w:rFonts w:eastAsia="Times New Roman"/>
          <w:sz w:val="20"/>
          <w:szCs w:val="20"/>
        </w:rPr>
        <w:t xml:space="preserve"> </w:t>
      </w:r>
      <w:proofErr w:type="spellStart"/>
      <w:r w:rsidRPr="00405C00">
        <w:rPr>
          <w:rFonts w:eastAsia="Times New Roman"/>
          <w:sz w:val="20"/>
          <w:szCs w:val="20"/>
        </w:rPr>
        <w:t>tāhine</w:t>
      </w:r>
      <w:proofErr w:type="spellEnd"/>
      <w:r w:rsidRPr="00405C00">
        <w:rPr>
          <w:rFonts w:eastAsia="Times New Roman"/>
          <w:sz w:val="20"/>
          <w:szCs w:val="20"/>
        </w:rPr>
        <w:t xml:space="preserve">, whakawahine, </w:t>
      </w:r>
      <w:proofErr w:type="spellStart"/>
      <w:r w:rsidRPr="00405C00">
        <w:rPr>
          <w:rFonts w:eastAsia="Times New Roman"/>
          <w:sz w:val="20"/>
          <w:szCs w:val="20"/>
        </w:rPr>
        <w:t>tangata</w:t>
      </w:r>
      <w:proofErr w:type="spellEnd"/>
      <w:r w:rsidRPr="00405C00">
        <w:rPr>
          <w:rFonts w:eastAsia="Times New Roman"/>
          <w:sz w:val="20"/>
          <w:szCs w:val="20"/>
        </w:rPr>
        <w:t xml:space="preserve"> </w:t>
      </w:r>
      <w:proofErr w:type="spellStart"/>
      <w:r w:rsidRPr="00405C00">
        <w:rPr>
          <w:rFonts w:eastAsia="Times New Roman"/>
          <w:sz w:val="20"/>
          <w:szCs w:val="20"/>
        </w:rPr>
        <w:t>ira</w:t>
      </w:r>
      <w:proofErr w:type="spellEnd"/>
      <w:r w:rsidRPr="00405C00">
        <w:rPr>
          <w:rFonts w:eastAsia="Times New Roman"/>
          <w:sz w:val="20"/>
          <w:szCs w:val="20"/>
        </w:rPr>
        <w:t xml:space="preserve"> </w:t>
      </w:r>
      <w:proofErr w:type="spellStart"/>
      <w:r w:rsidRPr="00405C00">
        <w:rPr>
          <w:rFonts w:eastAsia="Times New Roman"/>
          <w:sz w:val="20"/>
          <w:szCs w:val="20"/>
        </w:rPr>
        <w:t>tāne</w:t>
      </w:r>
      <w:proofErr w:type="spellEnd"/>
      <w:r w:rsidRPr="00405C00">
        <w:rPr>
          <w:rFonts w:eastAsia="Times New Roman"/>
          <w:sz w:val="20"/>
          <w:szCs w:val="20"/>
        </w:rPr>
        <w:t xml:space="preserve">, transgender, transsexual, trans feminine, trans masculine, </w:t>
      </w:r>
      <w:proofErr w:type="spellStart"/>
      <w:r w:rsidRPr="00405C00">
        <w:rPr>
          <w:rFonts w:eastAsia="Times New Roman"/>
          <w:sz w:val="20"/>
          <w:szCs w:val="20"/>
        </w:rPr>
        <w:t>fa'afafine</w:t>
      </w:r>
      <w:proofErr w:type="spellEnd"/>
      <w:r w:rsidRPr="00405C00">
        <w:rPr>
          <w:rFonts w:eastAsia="Times New Roman"/>
          <w:sz w:val="20"/>
          <w:szCs w:val="20"/>
        </w:rPr>
        <w:t xml:space="preserve">, </w:t>
      </w:r>
      <w:proofErr w:type="spellStart"/>
      <w:r w:rsidRPr="00405C00">
        <w:rPr>
          <w:rFonts w:eastAsia="Times New Roman"/>
          <w:sz w:val="20"/>
          <w:szCs w:val="20"/>
        </w:rPr>
        <w:t>fa’afatama</w:t>
      </w:r>
      <w:proofErr w:type="spellEnd"/>
      <w:r w:rsidRPr="00405C00">
        <w:rPr>
          <w:rFonts w:eastAsia="Times New Roman"/>
          <w:sz w:val="20"/>
          <w:szCs w:val="20"/>
        </w:rPr>
        <w:t xml:space="preserve">, fakaleiti, </w:t>
      </w:r>
      <w:proofErr w:type="spellStart"/>
      <w:r w:rsidRPr="00405C00">
        <w:rPr>
          <w:rFonts w:eastAsia="Times New Roman"/>
          <w:sz w:val="20"/>
          <w:szCs w:val="20"/>
        </w:rPr>
        <w:t>leiti</w:t>
      </w:r>
      <w:proofErr w:type="spellEnd"/>
      <w:r w:rsidRPr="00405C00">
        <w:rPr>
          <w:rFonts w:eastAsia="Times New Roman"/>
          <w:sz w:val="20"/>
          <w:szCs w:val="20"/>
        </w:rPr>
        <w:t xml:space="preserve">, </w:t>
      </w:r>
      <w:proofErr w:type="spellStart"/>
      <w:r w:rsidRPr="00405C00">
        <w:rPr>
          <w:rFonts w:eastAsia="Times New Roman"/>
          <w:sz w:val="20"/>
          <w:szCs w:val="20"/>
        </w:rPr>
        <w:t>akava'ine</w:t>
      </w:r>
      <w:proofErr w:type="spellEnd"/>
      <w:r w:rsidRPr="00405C00">
        <w:rPr>
          <w:rFonts w:eastAsia="Times New Roman"/>
          <w:sz w:val="20"/>
          <w:szCs w:val="20"/>
        </w:rPr>
        <w:t xml:space="preserve">, </w:t>
      </w:r>
      <w:proofErr w:type="spellStart"/>
      <w:r w:rsidRPr="00405C00">
        <w:rPr>
          <w:rFonts w:eastAsia="Times New Roman"/>
          <w:sz w:val="20"/>
          <w:szCs w:val="20"/>
        </w:rPr>
        <w:t>aikāne</w:t>
      </w:r>
      <w:proofErr w:type="spellEnd"/>
      <w:r w:rsidRPr="00405C00">
        <w:rPr>
          <w:rFonts w:eastAsia="Times New Roman"/>
          <w:sz w:val="20"/>
          <w:szCs w:val="20"/>
        </w:rPr>
        <w:t xml:space="preserve">, </w:t>
      </w:r>
      <w:proofErr w:type="spellStart"/>
      <w:r w:rsidRPr="00405C00">
        <w:rPr>
          <w:rFonts w:eastAsia="Times New Roman"/>
          <w:sz w:val="20"/>
          <w:szCs w:val="20"/>
        </w:rPr>
        <w:t>fakafifine</w:t>
      </w:r>
      <w:proofErr w:type="spellEnd"/>
      <w:r w:rsidRPr="00405C00">
        <w:rPr>
          <w:rFonts w:eastAsia="Times New Roman"/>
          <w:sz w:val="20"/>
          <w:szCs w:val="20"/>
        </w:rPr>
        <w:t xml:space="preserve">, </w:t>
      </w:r>
      <w:proofErr w:type="spellStart"/>
      <w:r w:rsidRPr="00405C00">
        <w:rPr>
          <w:rFonts w:eastAsia="Times New Roman"/>
          <w:sz w:val="20"/>
          <w:szCs w:val="20"/>
        </w:rPr>
        <w:t>vakasalewa</w:t>
      </w:r>
      <w:proofErr w:type="spellEnd"/>
      <w:r w:rsidRPr="00405C00">
        <w:rPr>
          <w:rFonts w:eastAsia="Times New Roman"/>
          <w:sz w:val="20"/>
          <w:szCs w:val="20"/>
        </w:rPr>
        <w:t xml:space="preserve">, </w:t>
      </w:r>
      <w:proofErr w:type="spellStart"/>
      <w:r w:rsidRPr="00405C00">
        <w:rPr>
          <w:rFonts w:eastAsia="Times New Roman"/>
          <w:sz w:val="20"/>
          <w:szCs w:val="20"/>
        </w:rPr>
        <w:t>mahu</w:t>
      </w:r>
      <w:proofErr w:type="spellEnd"/>
      <w:r w:rsidRPr="00405C00">
        <w:rPr>
          <w:rFonts w:eastAsia="Times New Roman"/>
          <w:sz w:val="20"/>
          <w:szCs w:val="20"/>
        </w:rPr>
        <w:t xml:space="preserve">, </w:t>
      </w:r>
      <w:proofErr w:type="spellStart"/>
      <w:r w:rsidRPr="00405C00">
        <w:rPr>
          <w:rFonts w:eastAsia="Times New Roman"/>
          <w:sz w:val="20"/>
          <w:szCs w:val="20"/>
        </w:rPr>
        <w:t>palopa</w:t>
      </w:r>
      <w:proofErr w:type="spellEnd"/>
      <w:r w:rsidRPr="00405C00">
        <w:rPr>
          <w:rFonts w:eastAsia="Times New Roman"/>
          <w:sz w:val="20"/>
          <w:szCs w:val="20"/>
        </w:rPr>
        <w:t>, genderqueer, gender diverse, and many more</w:t>
      </w:r>
      <w:r w:rsidR="00405C00" w:rsidRPr="00405C00">
        <w:rPr>
          <w:rFonts w:eastAsia="Times New Roman"/>
          <w:sz w:val="20"/>
          <w:szCs w:val="20"/>
        </w:rPr>
        <w:t xml:space="preserve"> terms</w:t>
      </w:r>
      <w:r w:rsidRPr="00405C00">
        <w:rPr>
          <w:rFonts w:eastAsia="Times New Roman"/>
          <w:sz w:val="20"/>
          <w:szCs w:val="20"/>
        </w:rPr>
        <w:t>.</w:t>
      </w:r>
    </w:p>
  </w:footnote>
  <w:footnote w:id="2">
    <w:p w14:paraId="534075D5" w14:textId="6B53A0AF" w:rsidR="004C3B79" w:rsidRPr="00405C00" w:rsidRDefault="004C3B79">
      <w:pPr>
        <w:pStyle w:val="FootnoteText"/>
        <w:rPr>
          <w:sz w:val="20"/>
          <w:szCs w:val="20"/>
          <w:lang w:val="mi-NZ"/>
        </w:rPr>
      </w:pPr>
      <w:r w:rsidRPr="00405C00">
        <w:rPr>
          <w:rStyle w:val="FootnoteReference"/>
          <w:sz w:val="20"/>
          <w:szCs w:val="20"/>
        </w:rPr>
        <w:footnoteRef/>
      </w:r>
      <w:r w:rsidRPr="00405C00">
        <w:rPr>
          <w:sz w:val="20"/>
          <w:szCs w:val="20"/>
        </w:rPr>
        <w:t xml:space="preserve"> </w:t>
      </w:r>
      <w:r w:rsidR="006C31B7" w:rsidRPr="00405C00">
        <w:rPr>
          <w:sz w:val="20"/>
          <w:szCs w:val="20"/>
          <w:lang w:val="en-NZ"/>
        </w:rPr>
        <w:t>Current provis</w:t>
      </w:r>
      <w:r w:rsidR="002C500C" w:rsidRPr="00405C00">
        <w:rPr>
          <w:sz w:val="20"/>
          <w:szCs w:val="20"/>
          <w:lang w:val="en-NZ"/>
        </w:rPr>
        <w:t xml:space="preserve">ions </w:t>
      </w:r>
      <w:r w:rsidR="006C31B7" w:rsidRPr="00405C00">
        <w:rPr>
          <w:sz w:val="20"/>
          <w:szCs w:val="20"/>
          <w:lang w:val="en-NZ"/>
        </w:rPr>
        <w:t xml:space="preserve">are in </w:t>
      </w:r>
      <w:r w:rsidR="006360C7" w:rsidRPr="00405C00">
        <w:rPr>
          <w:sz w:val="20"/>
          <w:szCs w:val="20"/>
          <w:lang w:val="en-NZ"/>
        </w:rPr>
        <w:t xml:space="preserve">Part 5, </w:t>
      </w:r>
      <w:r w:rsidR="006C31B7" w:rsidRPr="00405C00">
        <w:rPr>
          <w:sz w:val="20"/>
          <w:szCs w:val="20"/>
          <w:lang w:val="en-NZ"/>
        </w:rPr>
        <w:t xml:space="preserve">sections </w:t>
      </w:r>
      <w:r w:rsidR="006360C7" w:rsidRPr="00405C00">
        <w:rPr>
          <w:sz w:val="20"/>
          <w:szCs w:val="20"/>
          <w:lang w:val="en-NZ"/>
        </w:rPr>
        <w:t xml:space="preserve">27-33 of the </w:t>
      </w:r>
      <w:r w:rsidR="00166BBB" w:rsidRPr="00405C00">
        <w:rPr>
          <w:sz w:val="20"/>
          <w:szCs w:val="20"/>
          <w:lang w:val="en-NZ"/>
        </w:rPr>
        <w:t xml:space="preserve">BDMRRA 1995, and </w:t>
      </w:r>
      <w:r w:rsidR="0063468B" w:rsidRPr="00405C00">
        <w:rPr>
          <w:sz w:val="20"/>
          <w:szCs w:val="20"/>
          <w:lang w:val="en-NZ"/>
        </w:rPr>
        <w:t xml:space="preserve">were proposed to be </w:t>
      </w:r>
      <w:r w:rsidR="00166BBB" w:rsidRPr="00405C00">
        <w:rPr>
          <w:sz w:val="20"/>
          <w:szCs w:val="20"/>
          <w:lang w:val="en-NZ"/>
        </w:rPr>
        <w:t xml:space="preserve">re-enacted </w:t>
      </w:r>
      <w:r w:rsidR="0015633C" w:rsidRPr="00405C00">
        <w:rPr>
          <w:sz w:val="20"/>
          <w:szCs w:val="20"/>
          <w:lang w:val="en-NZ"/>
        </w:rPr>
        <w:t>as</w:t>
      </w:r>
      <w:r w:rsidR="00166BBB" w:rsidRPr="00405C00">
        <w:rPr>
          <w:sz w:val="20"/>
          <w:szCs w:val="20"/>
          <w:lang w:val="en-NZ"/>
        </w:rPr>
        <w:t xml:space="preserve"> clauses </w:t>
      </w:r>
      <w:r w:rsidR="006B2F1C" w:rsidRPr="00405C00">
        <w:rPr>
          <w:sz w:val="20"/>
          <w:szCs w:val="20"/>
          <w:lang w:val="en-NZ"/>
        </w:rPr>
        <w:t>66-72 of the Births, Deaths, Marriages</w:t>
      </w:r>
      <w:r w:rsidR="002C500C" w:rsidRPr="00405C00">
        <w:rPr>
          <w:sz w:val="20"/>
          <w:szCs w:val="20"/>
          <w:lang w:val="en-NZ"/>
        </w:rPr>
        <w:t>, and Relationships Registration Bill.</w:t>
      </w:r>
    </w:p>
  </w:footnote>
  <w:footnote w:id="3">
    <w:p w14:paraId="56372DB1" w14:textId="57320758" w:rsidR="00E00EEC" w:rsidRPr="00405C00" w:rsidRDefault="00E00EEC" w:rsidP="001E4604">
      <w:pPr>
        <w:pStyle w:val="FootnoteText"/>
        <w:rPr>
          <w:sz w:val="20"/>
          <w:szCs w:val="20"/>
          <w:lang w:val="mi-NZ"/>
        </w:rPr>
      </w:pPr>
      <w:r w:rsidRPr="00405C00">
        <w:rPr>
          <w:rStyle w:val="FootnoteReference"/>
          <w:sz w:val="20"/>
          <w:szCs w:val="20"/>
        </w:rPr>
        <w:footnoteRef/>
      </w:r>
      <w:r w:rsidRPr="00405C00">
        <w:rPr>
          <w:sz w:val="20"/>
          <w:szCs w:val="20"/>
        </w:rPr>
        <w:t xml:space="preserve"> </w:t>
      </w:r>
      <w:hyperlink r:id="rId1" w:history="1">
        <w:r w:rsidRPr="00405C00">
          <w:rPr>
            <w:rStyle w:val="Hyperlink"/>
            <w:rFonts w:cstheme="minorHAnsi"/>
            <w:color w:val="auto"/>
            <w:sz w:val="20"/>
            <w:szCs w:val="20"/>
          </w:rPr>
          <w:t>https://www.passports.govt.nz/what-you-need-to-renew-or-apply-for-a-passport/information/</w:t>
        </w:r>
      </w:hyperlink>
      <w:r w:rsidRPr="00405C00">
        <w:rPr>
          <w:rFonts w:cstheme="minorHAnsi"/>
          <w:sz w:val="20"/>
          <w:szCs w:val="20"/>
        </w:rPr>
        <w:t xml:space="preserve">, and   </w:t>
      </w:r>
      <w:hyperlink r:id="rId2" w:history="1">
        <w:r w:rsidRPr="00405C00">
          <w:rPr>
            <w:rStyle w:val="Hyperlink"/>
            <w:rFonts w:cstheme="minorHAnsi"/>
            <w:color w:val="auto"/>
            <w:sz w:val="20"/>
            <w:szCs w:val="20"/>
          </w:rPr>
          <w:t>https://nzta.govt.nz/driver-licences/renewing-replacing-and-updating/updating-your-licence/</w:t>
        </w:r>
      </w:hyperlink>
      <w:r w:rsidRPr="00405C00">
        <w:rPr>
          <w:rFonts w:cstheme="minorHAnsi"/>
          <w:sz w:val="20"/>
          <w:szCs w:val="20"/>
        </w:rPr>
        <w:t xml:space="preserve"> Some people with variations of sex characteristics, sometimes referred to as intersex people, also use these provisions to amend their gender marker.</w:t>
      </w:r>
      <w:r w:rsidR="008D2413" w:rsidRPr="00405C00">
        <w:rPr>
          <w:rFonts w:cstheme="minorHAnsi"/>
          <w:sz w:val="20"/>
          <w:szCs w:val="20"/>
        </w:rPr>
        <w:t xml:space="preserve"> </w:t>
      </w:r>
    </w:p>
  </w:footnote>
  <w:footnote w:id="4">
    <w:p w14:paraId="3DFFA2DB" w14:textId="77777777" w:rsidR="005D43A4" w:rsidRPr="00405C00" w:rsidRDefault="005D43A4" w:rsidP="005D43A4">
      <w:pPr>
        <w:pStyle w:val="FootnoteText"/>
        <w:rPr>
          <w:rFonts w:cstheme="minorHAnsi"/>
          <w:sz w:val="20"/>
          <w:szCs w:val="20"/>
          <w:lang w:val="mi-NZ"/>
        </w:rPr>
      </w:pPr>
      <w:r w:rsidRPr="00405C00">
        <w:rPr>
          <w:rStyle w:val="FootnoteReference"/>
          <w:rFonts w:cstheme="minorHAnsi"/>
          <w:sz w:val="20"/>
          <w:szCs w:val="20"/>
        </w:rPr>
        <w:footnoteRef/>
      </w:r>
      <w:r w:rsidRPr="00405C00">
        <w:rPr>
          <w:rFonts w:cstheme="minorHAnsi"/>
          <w:sz w:val="20"/>
          <w:szCs w:val="20"/>
        </w:rPr>
        <w:t xml:space="preserve"> For example, B. James, S. E., Herman, J. L., Rankin, S., Keisling, M., Mottet, L., &amp; Anafi, M. (2016). </w:t>
      </w:r>
      <w:r w:rsidRPr="00405C00">
        <w:rPr>
          <w:rFonts w:cstheme="minorHAnsi"/>
          <w:i/>
          <w:sz w:val="20"/>
          <w:szCs w:val="20"/>
        </w:rPr>
        <w:t>The Report of the 2015 U.S. Transgender Survey (USTS).</w:t>
      </w:r>
      <w:r w:rsidRPr="00405C00">
        <w:rPr>
          <w:rFonts w:cstheme="minorHAnsi"/>
          <w:sz w:val="20"/>
          <w:szCs w:val="20"/>
        </w:rPr>
        <w:t xml:space="preserve"> Washington, DC: National Center for Transgender Equality; A. Grant, J, Mottet, L, Tanis, J, Harrison, J, Herman, J, &amp; Keisling, M. (2011). </w:t>
      </w:r>
      <w:r w:rsidRPr="00405C00">
        <w:rPr>
          <w:rFonts w:cstheme="minorHAnsi"/>
          <w:i/>
          <w:sz w:val="20"/>
          <w:szCs w:val="20"/>
        </w:rPr>
        <w:t>Injustice at every turn: a report of the National Transgender Discrimination Survey</w:t>
      </w:r>
      <w:r w:rsidRPr="00405C00">
        <w:rPr>
          <w:rFonts w:cstheme="minorHAnsi"/>
          <w:sz w:val="20"/>
          <w:szCs w:val="20"/>
        </w:rPr>
        <w:t xml:space="preserve">. Washington DC; European Union Agency for Fundamental Rights (FRA) (2014). </w:t>
      </w:r>
      <w:r w:rsidRPr="00405C00">
        <w:rPr>
          <w:rFonts w:cstheme="minorHAnsi"/>
          <w:i/>
          <w:sz w:val="20"/>
          <w:szCs w:val="20"/>
        </w:rPr>
        <w:t>Being Trans in the EU Comparative analysis of the EU LGBT survey data</w:t>
      </w:r>
    </w:p>
  </w:footnote>
  <w:footnote w:id="5">
    <w:p w14:paraId="13178600" w14:textId="77777777" w:rsidR="005D43A4" w:rsidRPr="00405C00" w:rsidRDefault="005D43A4" w:rsidP="005D43A4">
      <w:pPr>
        <w:widowControl w:val="0"/>
        <w:autoSpaceDE w:val="0"/>
        <w:autoSpaceDN w:val="0"/>
        <w:adjustRightInd w:val="0"/>
        <w:spacing w:after="0" w:line="240" w:lineRule="auto"/>
        <w:rPr>
          <w:rFonts w:cstheme="minorHAnsi"/>
          <w:sz w:val="20"/>
          <w:szCs w:val="20"/>
        </w:rPr>
      </w:pPr>
      <w:r w:rsidRPr="00405C00">
        <w:rPr>
          <w:rStyle w:val="FootnoteReference"/>
          <w:rFonts w:cstheme="minorHAnsi"/>
          <w:sz w:val="20"/>
          <w:szCs w:val="20"/>
        </w:rPr>
        <w:footnoteRef/>
      </w:r>
      <w:r w:rsidRPr="00405C00">
        <w:rPr>
          <w:rFonts w:cstheme="minorHAnsi"/>
          <w:sz w:val="20"/>
          <w:szCs w:val="20"/>
        </w:rPr>
        <w:t xml:space="preserve"> For example, Hyde Z, Doherty M, Tilley PJM, McCaul KA, Rooney R, &amp; J, Jancey. (2014). </w:t>
      </w:r>
      <w:r w:rsidRPr="00405C00">
        <w:rPr>
          <w:rFonts w:cstheme="minorHAnsi"/>
          <w:i/>
          <w:sz w:val="20"/>
          <w:szCs w:val="20"/>
        </w:rPr>
        <w:t>The First Australian National Trans Mental Health Study: Summary of Results</w:t>
      </w:r>
      <w:r w:rsidRPr="00405C00">
        <w:rPr>
          <w:rFonts w:cstheme="minorHAnsi"/>
          <w:sz w:val="20"/>
          <w:szCs w:val="20"/>
        </w:rPr>
        <w:t xml:space="preserve">. Perth, Australia: School of Public Health, Curtin University; Bauer, G, Scheim, A, Pyne, J, Travers, R, &amp; Hammond, R. (2015). ‘Intervenable factors associated with suicide risk in transgender persons: a respondent driven sampling study in Ontario, Canada’ </w:t>
      </w:r>
      <w:r w:rsidRPr="00405C00">
        <w:rPr>
          <w:rFonts w:cstheme="minorHAnsi"/>
          <w:i/>
          <w:iCs/>
          <w:sz w:val="20"/>
          <w:szCs w:val="20"/>
        </w:rPr>
        <w:t>BMC Public Health, 15</w:t>
      </w:r>
      <w:r w:rsidRPr="00405C00">
        <w:rPr>
          <w:rFonts w:cstheme="minorHAnsi"/>
          <w:sz w:val="20"/>
          <w:szCs w:val="20"/>
        </w:rPr>
        <w:t>, 525</w:t>
      </w:r>
    </w:p>
  </w:footnote>
  <w:footnote w:id="6">
    <w:p w14:paraId="087C6AB2" w14:textId="77777777" w:rsidR="005D43A4" w:rsidRPr="00405C00" w:rsidRDefault="005D43A4" w:rsidP="005D43A4">
      <w:pPr>
        <w:pStyle w:val="FootnoteText"/>
        <w:rPr>
          <w:b/>
          <w:sz w:val="20"/>
          <w:szCs w:val="20"/>
          <w:lang w:val="mi-NZ"/>
        </w:rPr>
      </w:pPr>
      <w:r w:rsidRPr="00405C00">
        <w:rPr>
          <w:rStyle w:val="FootnoteReference"/>
          <w:sz w:val="20"/>
          <w:szCs w:val="20"/>
        </w:rPr>
        <w:footnoteRef/>
      </w:r>
      <w:r w:rsidRPr="00405C00">
        <w:rPr>
          <w:sz w:val="20"/>
          <w:szCs w:val="20"/>
        </w:rPr>
        <w:t xml:space="preserve"> </w:t>
      </w:r>
      <w:r w:rsidRPr="00405C00">
        <w:rPr>
          <w:rFonts w:cstheme="minorHAnsi"/>
          <w:sz w:val="20"/>
          <w:szCs w:val="20"/>
        </w:rPr>
        <w:t xml:space="preserve">It requires someone to complete a statutory declaration indicating the gender they wish to have recorded on the passport, and the </w:t>
      </w:r>
      <w:proofErr w:type="gramStart"/>
      <w:r w:rsidRPr="00405C00">
        <w:rPr>
          <w:rFonts w:cstheme="minorHAnsi"/>
          <w:sz w:val="20"/>
          <w:szCs w:val="20"/>
        </w:rPr>
        <w:t>period of time</w:t>
      </w:r>
      <w:proofErr w:type="gramEnd"/>
      <w:r w:rsidRPr="00405C00">
        <w:rPr>
          <w:rFonts w:cstheme="minorHAnsi"/>
          <w:sz w:val="20"/>
          <w:szCs w:val="20"/>
        </w:rPr>
        <w:t xml:space="preserve"> they have maintained that gender. Those under the age of 18 also require the 2 supporting statutory declarations, one from a parent / legal guardian and the other from a counselor or medical professional. (</w:t>
      </w:r>
      <w:hyperlink r:id="rId3" w:history="1">
        <w:r w:rsidRPr="00405C00">
          <w:rPr>
            <w:rStyle w:val="Hyperlink"/>
            <w:rFonts w:cstheme="minorHAnsi"/>
            <w:color w:val="auto"/>
            <w:sz w:val="20"/>
            <w:szCs w:val="20"/>
          </w:rPr>
          <w:t>https://www.passports.govt.nz/what-you-need-to-renew-or-apply-for-a-passport/information/</w:t>
        </w:r>
      </w:hyperlink>
      <w:r w:rsidRPr="00405C00">
        <w:rPr>
          <w:rFonts w:cstheme="minorHAnsi"/>
          <w:sz w:val="20"/>
          <w:szCs w:val="20"/>
        </w:rPr>
        <w:t xml:space="preserve">). </w:t>
      </w:r>
    </w:p>
  </w:footnote>
  <w:footnote w:id="7">
    <w:p w14:paraId="2815E716" w14:textId="77777777" w:rsidR="005D43A4" w:rsidRPr="00405C00" w:rsidRDefault="005D43A4" w:rsidP="005D43A4">
      <w:pPr>
        <w:pStyle w:val="FootnoteText"/>
        <w:rPr>
          <w:rFonts w:cstheme="minorHAnsi"/>
          <w:sz w:val="20"/>
          <w:szCs w:val="20"/>
          <w:lang w:val="mi-NZ"/>
        </w:rPr>
      </w:pPr>
      <w:r w:rsidRPr="00405C00">
        <w:rPr>
          <w:rStyle w:val="FootnoteReference"/>
          <w:rFonts w:cstheme="minorHAnsi"/>
          <w:sz w:val="20"/>
          <w:szCs w:val="20"/>
        </w:rPr>
        <w:footnoteRef/>
      </w:r>
      <w:r w:rsidRPr="00405C00">
        <w:rPr>
          <w:rFonts w:cstheme="minorHAnsi"/>
          <w:sz w:val="20"/>
          <w:szCs w:val="20"/>
        </w:rPr>
        <w:t xml:space="preserve"> </w:t>
      </w:r>
      <w:r w:rsidRPr="00405C00">
        <w:rPr>
          <w:rFonts w:cstheme="minorHAnsi"/>
          <w:sz w:val="20"/>
          <w:szCs w:val="20"/>
          <w:lang w:val="mi-NZ"/>
        </w:rPr>
        <w:t xml:space="preserve">Most recently summarised in Principle 31 of </w:t>
      </w:r>
      <w:r w:rsidRPr="00405C00">
        <w:rPr>
          <w:rFonts w:cstheme="minorHAnsi"/>
          <w:i/>
          <w:sz w:val="20"/>
          <w:szCs w:val="20"/>
          <w:lang w:val="mi-NZ"/>
        </w:rPr>
        <w:t xml:space="preserve">The Yogyakarta Principles plus 10. </w:t>
      </w:r>
      <w:r w:rsidRPr="00405C00">
        <w:rPr>
          <w:rFonts w:cstheme="minorHAnsi"/>
          <w:sz w:val="20"/>
          <w:szCs w:val="20"/>
          <w:lang w:val="mi-NZ"/>
        </w:rPr>
        <w:t xml:space="preserve">These were published in November 2017 as: Additional principles and state obligations on the application of international human rights law in relation to sexual orientation, gender identity, gender expression and sex characteristics to complelement the Yogyakarta Principles. </w:t>
      </w:r>
      <w:r w:rsidR="00384B44" w:rsidRPr="00405C00">
        <w:rPr>
          <w:rStyle w:val="Hyperlink"/>
          <w:rFonts w:cstheme="minorHAnsi"/>
          <w:color w:val="auto"/>
          <w:sz w:val="20"/>
          <w:szCs w:val="20"/>
          <w:lang w:val="mi-NZ"/>
        </w:rPr>
        <w:fldChar w:fldCharType="begin"/>
      </w:r>
      <w:r w:rsidR="00384B44" w:rsidRPr="00405C00">
        <w:rPr>
          <w:rStyle w:val="Hyperlink"/>
          <w:rFonts w:cstheme="minorHAnsi"/>
          <w:color w:val="auto"/>
          <w:sz w:val="20"/>
          <w:szCs w:val="20"/>
          <w:lang w:val="mi-NZ"/>
        </w:rPr>
        <w:instrText xml:space="preserve"> HYPERLINK "https://yogyakartaprinciples.org/principle-31-yp10/"</w:instrText>
      </w:r>
      <w:r w:rsidR="00384B44" w:rsidRPr="00405C00">
        <w:rPr>
          <w:rStyle w:val="Hyperlink"/>
          <w:rFonts w:cstheme="minorHAnsi"/>
          <w:color w:val="auto"/>
          <w:sz w:val="20"/>
          <w:szCs w:val="20"/>
          <w:lang w:val="mi-NZ"/>
        </w:rPr>
        <w:instrText xml:space="preserve"> </w:instrText>
      </w:r>
      <w:r w:rsidR="00384B44" w:rsidRPr="00405C00">
        <w:rPr>
          <w:rStyle w:val="Hyperlink"/>
          <w:rFonts w:cstheme="minorHAnsi"/>
          <w:color w:val="auto"/>
          <w:sz w:val="20"/>
          <w:szCs w:val="20"/>
          <w:lang w:val="mi-NZ"/>
        </w:rPr>
        <w:fldChar w:fldCharType="separate"/>
      </w:r>
      <w:r w:rsidRPr="00405C00">
        <w:rPr>
          <w:rStyle w:val="Hyperlink"/>
          <w:rFonts w:cstheme="minorHAnsi"/>
          <w:color w:val="auto"/>
          <w:sz w:val="20"/>
          <w:szCs w:val="20"/>
          <w:lang w:val="mi-NZ"/>
        </w:rPr>
        <w:t>https://yogyakartaprinciples.org/principle-31-yp10/</w:t>
      </w:r>
      <w:r w:rsidR="00384B44" w:rsidRPr="00405C00">
        <w:rPr>
          <w:rStyle w:val="Hyperlink"/>
          <w:rFonts w:cstheme="minorHAnsi"/>
          <w:color w:val="auto"/>
          <w:sz w:val="20"/>
          <w:szCs w:val="20"/>
          <w:lang w:val="mi-NZ"/>
        </w:rPr>
        <w:fldChar w:fldCharType="end"/>
      </w:r>
      <w:r w:rsidRPr="00405C00">
        <w:rPr>
          <w:rFonts w:cstheme="minorHAnsi"/>
          <w:sz w:val="20"/>
          <w:szCs w:val="20"/>
          <w:lang w:val="mi-NZ"/>
        </w:rPr>
        <w:t xml:space="preserve"> </w:t>
      </w:r>
    </w:p>
  </w:footnote>
  <w:footnote w:id="8">
    <w:p w14:paraId="6B4F0836" w14:textId="77777777" w:rsidR="005D43A4" w:rsidRPr="00405C00" w:rsidRDefault="005D43A4" w:rsidP="005D43A4">
      <w:pPr>
        <w:pStyle w:val="FootnoteText"/>
        <w:rPr>
          <w:rFonts w:cstheme="minorHAnsi"/>
          <w:sz w:val="20"/>
          <w:szCs w:val="20"/>
          <w:lang w:val="mi-NZ"/>
        </w:rPr>
      </w:pPr>
      <w:r w:rsidRPr="00405C00">
        <w:rPr>
          <w:rStyle w:val="FootnoteReference"/>
          <w:rFonts w:cstheme="minorHAnsi"/>
          <w:sz w:val="20"/>
          <w:szCs w:val="20"/>
        </w:rPr>
        <w:footnoteRef/>
      </w:r>
      <w:r w:rsidRPr="00405C00">
        <w:rPr>
          <w:rFonts w:cstheme="minorHAnsi"/>
          <w:sz w:val="20"/>
          <w:szCs w:val="20"/>
        </w:rPr>
        <w:t xml:space="preserve"> For example, In </w:t>
      </w:r>
      <w:r w:rsidRPr="00405C00">
        <w:rPr>
          <w:rStyle w:val="Hyperlink"/>
          <w:rFonts w:cstheme="minorHAnsi"/>
          <w:color w:val="auto"/>
          <w:sz w:val="20"/>
          <w:szCs w:val="20"/>
        </w:rPr>
        <w:t>January 2018, the Inter-American Court of Human Rights issued an advisory opinion</w:t>
      </w:r>
      <w:r w:rsidRPr="00405C00">
        <w:rPr>
          <w:rFonts w:cstheme="minorHAnsi"/>
          <w:sz w:val="20"/>
          <w:szCs w:val="20"/>
        </w:rPr>
        <w:t xml:space="preserve"> asserting that countries should ensure legal gender recognition for both adults and children, based solely on the self-perceived identity of a person</w:t>
      </w:r>
      <w:r w:rsidRPr="00405C00">
        <w:rPr>
          <w:rStyle w:val="Hyperlink"/>
          <w:rFonts w:cstheme="minorHAnsi"/>
          <w:color w:val="auto"/>
          <w:sz w:val="20"/>
          <w:szCs w:val="20"/>
        </w:rPr>
        <w:t xml:space="preserve">  </w:t>
      </w:r>
      <w:hyperlink r:id="rId4" w:tgtFrame="_blank" w:history="1">
        <w:r w:rsidRPr="00405C00">
          <w:rPr>
            <w:rStyle w:val="Hyperlink"/>
            <w:rFonts w:cstheme="minorHAnsi"/>
            <w:color w:val="auto"/>
            <w:sz w:val="20"/>
            <w:szCs w:val="20"/>
          </w:rPr>
          <w:t>http://www.corteidh.or.cr/docs/opiniones/seriea_24_esp.pdf</w:t>
        </w:r>
      </w:hyperlink>
      <w:r w:rsidRPr="00405C00">
        <w:rPr>
          <w:rStyle w:val="Hyperlink"/>
          <w:rFonts w:cstheme="minorHAnsi"/>
          <w:color w:val="auto"/>
          <w:sz w:val="20"/>
          <w:szCs w:val="20"/>
        </w:rPr>
        <w:t xml:space="preserve">. </w:t>
      </w:r>
      <w:r w:rsidRPr="00405C00">
        <w:rPr>
          <w:rFonts w:cstheme="minorHAnsi"/>
          <w:sz w:val="20"/>
          <w:szCs w:val="20"/>
        </w:rPr>
        <w:t xml:space="preserve">in June 2018, the Austrian Constitutional Court </w:t>
      </w:r>
      <w:r w:rsidRPr="00405C00">
        <w:rPr>
          <w:rFonts w:cstheme="minorHAnsi"/>
          <w:sz w:val="20"/>
          <w:szCs w:val="20"/>
          <w:shd w:val="clear" w:color="auto" w:fill="FFFFFF"/>
        </w:rPr>
        <w:t xml:space="preserve">ordered, with immediate effect, that sex entries in the civil registries and in identity documents must reflect an individual’s self-determined gender identity. </w:t>
      </w:r>
      <w:r w:rsidRPr="00405C00">
        <w:rPr>
          <w:rFonts w:cstheme="minorHAnsi"/>
          <w:sz w:val="20"/>
          <w:szCs w:val="20"/>
        </w:rPr>
        <w:t xml:space="preserve">Austrian Constitutional Court decision, G 77/2018, 29 June 2018: </w:t>
      </w:r>
      <w:hyperlink r:id="rId5" w:history="1">
        <w:r w:rsidRPr="00405C00">
          <w:rPr>
            <w:rStyle w:val="Hyperlink"/>
            <w:rFonts w:cstheme="minorHAnsi"/>
            <w:color w:val="auto"/>
            <w:sz w:val="20"/>
            <w:szCs w:val="20"/>
          </w:rPr>
          <w:t>https://www.vfgh.gv.at/medien/Civil_register_-_Intersex_persons.en.php</w:t>
        </w:r>
      </w:hyperlink>
      <w:r w:rsidRPr="00405C00">
        <w:rPr>
          <w:rStyle w:val="Hyperlink"/>
          <w:rFonts w:cstheme="minorHAnsi"/>
          <w:color w:val="auto"/>
          <w:sz w:val="20"/>
          <w:szCs w:val="20"/>
        </w:rPr>
        <w:t xml:space="preserve">. </w:t>
      </w:r>
    </w:p>
  </w:footnote>
  <w:footnote w:id="9">
    <w:p w14:paraId="51FAFBEC" w14:textId="77777777" w:rsidR="005D43A4" w:rsidRPr="00405C00" w:rsidRDefault="005D43A4" w:rsidP="005D43A4">
      <w:pPr>
        <w:pStyle w:val="FootnoteText"/>
        <w:rPr>
          <w:rFonts w:cstheme="minorHAnsi"/>
          <w:sz w:val="20"/>
          <w:szCs w:val="20"/>
          <w:lang w:val="mi-NZ"/>
        </w:rPr>
      </w:pPr>
      <w:r w:rsidRPr="00405C00">
        <w:rPr>
          <w:rStyle w:val="FootnoteReference"/>
          <w:rFonts w:cstheme="minorHAnsi"/>
          <w:sz w:val="20"/>
          <w:szCs w:val="20"/>
        </w:rPr>
        <w:footnoteRef/>
      </w:r>
      <w:r w:rsidRPr="00405C00">
        <w:rPr>
          <w:rFonts w:cstheme="minorHAnsi"/>
          <w:sz w:val="20"/>
          <w:szCs w:val="20"/>
        </w:rPr>
        <w:t xml:space="preserve"> UNDP and APTN (2017). </w:t>
      </w:r>
      <w:r w:rsidRPr="00405C00">
        <w:rPr>
          <w:rFonts w:cstheme="minorHAnsi"/>
          <w:i/>
          <w:sz w:val="20"/>
          <w:szCs w:val="20"/>
        </w:rPr>
        <w:t xml:space="preserve">Legal Gender Recognition: A Multi-Country Legal and policy Review in Asia. </w:t>
      </w:r>
      <w:hyperlink r:id="rId6" w:history="1">
        <w:r w:rsidRPr="00405C00">
          <w:rPr>
            <w:rStyle w:val="Hyperlink"/>
            <w:rFonts w:cstheme="minorHAnsi"/>
            <w:color w:val="auto"/>
            <w:sz w:val="20"/>
            <w:szCs w:val="20"/>
          </w:rPr>
          <w:t>http://www.asia-pacific.undp.org/content/rbap/en/home/library/democratic_governance/hiv_aids/legal-gender-recognition--a-multi-country-legal-and-policy-revie.html</w:t>
        </w:r>
      </w:hyperlink>
      <w:r w:rsidRPr="00405C00">
        <w:rPr>
          <w:rFonts w:cstheme="minorHAnsi"/>
          <w:i/>
          <w:sz w:val="20"/>
          <w:szCs w:val="20"/>
        </w:rPr>
        <w:t xml:space="preserve"> </w:t>
      </w:r>
    </w:p>
  </w:footnote>
  <w:footnote w:id="10">
    <w:p w14:paraId="249F73C3" w14:textId="77777777" w:rsidR="005D43A4" w:rsidRPr="00405C00" w:rsidRDefault="005D43A4" w:rsidP="005D43A4">
      <w:pPr>
        <w:pStyle w:val="FootnoteText"/>
        <w:rPr>
          <w:sz w:val="20"/>
          <w:szCs w:val="20"/>
          <w:lang w:val="mi-NZ"/>
        </w:rPr>
      </w:pPr>
      <w:r w:rsidRPr="00405C00">
        <w:rPr>
          <w:rStyle w:val="FootnoteReference"/>
          <w:sz w:val="20"/>
          <w:szCs w:val="20"/>
        </w:rPr>
        <w:footnoteRef/>
      </w:r>
      <w:r w:rsidRPr="00405C00">
        <w:rPr>
          <w:sz w:val="20"/>
          <w:szCs w:val="20"/>
        </w:rPr>
        <w:t xml:space="preserve"> </w:t>
      </w:r>
      <w:r w:rsidRPr="00405C00">
        <w:rPr>
          <w:rFonts w:cstheme="minorHAnsi"/>
          <w:sz w:val="20"/>
          <w:szCs w:val="20"/>
          <w:lang w:val="mi-NZ"/>
        </w:rPr>
        <w:t xml:space="preserve">Principle 31 of </w:t>
      </w:r>
      <w:r w:rsidRPr="00405C00">
        <w:rPr>
          <w:rFonts w:cstheme="minorHAnsi"/>
          <w:i/>
          <w:sz w:val="20"/>
          <w:szCs w:val="20"/>
          <w:lang w:val="mi-NZ"/>
        </w:rPr>
        <w:t>The Yogyakarta Principles plus 10.</w:t>
      </w:r>
    </w:p>
  </w:footnote>
  <w:footnote w:id="11">
    <w:p w14:paraId="1428D051" w14:textId="77777777" w:rsidR="005D43A4" w:rsidRPr="00405C00" w:rsidRDefault="005D43A4" w:rsidP="005D43A4">
      <w:pPr>
        <w:pStyle w:val="FootnoteText"/>
        <w:rPr>
          <w:sz w:val="20"/>
          <w:szCs w:val="20"/>
          <w:lang w:val="mi-NZ"/>
        </w:rPr>
      </w:pPr>
      <w:r w:rsidRPr="00405C00">
        <w:rPr>
          <w:rStyle w:val="FootnoteReference"/>
          <w:sz w:val="20"/>
          <w:szCs w:val="20"/>
        </w:rPr>
        <w:footnoteRef/>
      </w:r>
      <w:r w:rsidRPr="00405C00">
        <w:rPr>
          <w:sz w:val="20"/>
          <w:szCs w:val="20"/>
        </w:rPr>
        <w:t xml:space="preserve"> Section 36 Care of Children Act 2004. In addition, while the passports policy requires </w:t>
      </w:r>
      <w:r w:rsidRPr="00405C00">
        <w:rPr>
          <w:rFonts w:cstheme="minorHAnsi"/>
          <w:sz w:val="20"/>
          <w:szCs w:val="20"/>
        </w:rPr>
        <w:t xml:space="preserve">the lodged statutory declaration to specify the </w:t>
      </w:r>
      <w:proofErr w:type="gramStart"/>
      <w:r w:rsidRPr="00405C00">
        <w:rPr>
          <w:rFonts w:cstheme="minorHAnsi"/>
          <w:sz w:val="20"/>
          <w:szCs w:val="20"/>
        </w:rPr>
        <w:t>period of time</w:t>
      </w:r>
      <w:proofErr w:type="gramEnd"/>
      <w:r w:rsidRPr="00405C00">
        <w:rPr>
          <w:rFonts w:cstheme="minorHAnsi"/>
          <w:sz w:val="20"/>
          <w:szCs w:val="20"/>
        </w:rPr>
        <w:t xml:space="preserve"> a person has maintained their gender, there is no minimum time period required. Therefore, this information is arguably unnecessary for amending a passport, or a birth certificate. </w:t>
      </w:r>
    </w:p>
  </w:footnote>
  <w:footnote w:id="12">
    <w:p w14:paraId="7CCC6A0C" w14:textId="77777777" w:rsidR="005D43A4" w:rsidRPr="00405C00" w:rsidRDefault="005D43A4" w:rsidP="005D43A4">
      <w:pPr>
        <w:pStyle w:val="FootnoteText"/>
        <w:rPr>
          <w:sz w:val="20"/>
          <w:szCs w:val="20"/>
          <w:lang w:val="mi-NZ"/>
        </w:rPr>
      </w:pPr>
      <w:r w:rsidRPr="00405C00">
        <w:rPr>
          <w:rStyle w:val="FootnoteReference"/>
          <w:sz w:val="20"/>
          <w:szCs w:val="20"/>
        </w:rPr>
        <w:footnoteRef/>
      </w:r>
      <w:r w:rsidRPr="00405C00">
        <w:rPr>
          <w:sz w:val="20"/>
          <w:szCs w:val="20"/>
        </w:rPr>
        <w:t xml:space="preserve"> </w:t>
      </w:r>
      <w:r w:rsidRPr="00405C00">
        <w:rPr>
          <w:rFonts w:eastAsia="Times New Roman" w:cstheme="minorHAnsi"/>
          <w:sz w:val="20"/>
          <w:szCs w:val="20"/>
          <w:lang w:eastAsia="en-NZ"/>
        </w:rPr>
        <w:t xml:space="preserve">This is the approach that would be most consistent with requirements in Yogyakarta Principal 31 that a person’s “immigration status or other status is not used to prevent a change of name, legal sex, or gender”. Other countries such as Malta and Canada provide such options for refugees and asylum seekers.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163CE"/>
    <w:multiLevelType w:val="hybridMultilevel"/>
    <w:tmpl w:val="6BF8600C"/>
    <w:lvl w:ilvl="0" w:tplc="D9F2A716">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12B59C6"/>
    <w:multiLevelType w:val="hybridMultilevel"/>
    <w:tmpl w:val="B7E421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A4"/>
    <w:rsid w:val="00050771"/>
    <w:rsid w:val="00053E5E"/>
    <w:rsid w:val="000610AD"/>
    <w:rsid w:val="00072336"/>
    <w:rsid w:val="000752BF"/>
    <w:rsid w:val="000952C4"/>
    <w:rsid w:val="000E65F5"/>
    <w:rsid w:val="00130156"/>
    <w:rsid w:val="00150503"/>
    <w:rsid w:val="0015633C"/>
    <w:rsid w:val="00166BBB"/>
    <w:rsid w:val="00170BB3"/>
    <w:rsid w:val="001728D7"/>
    <w:rsid w:val="001A2EBB"/>
    <w:rsid w:val="001E4604"/>
    <w:rsid w:val="001F0964"/>
    <w:rsid w:val="001F2557"/>
    <w:rsid w:val="001F7554"/>
    <w:rsid w:val="00233E66"/>
    <w:rsid w:val="0027627D"/>
    <w:rsid w:val="00294569"/>
    <w:rsid w:val="002A0988"/>
    <w:rsid w:val="002C500C"/>
    <w:rsid w:val="002C505F"/>
    <w:rsid w:val="00313EF0"/>
    <w:rsid w:val="00352381"/>
    <w:rsid w:val="00384B44"/>
    <w:rsid w:val="003865CE"/>
    <w:rsid w:val="003A5797"/>
    <w:rsid w:val="003B3820"/>
    <w:rsid w:val="003C1B2C"/>
    <w:rsid w:val="003C267F"/>
    <w:rsid w:val="00405C00"/>
    <w:rsid w:val="00424DDD"/>
    <w:rsid w:val="00425F44"/>
    <w:rsid w:val="0043120A"/>
    <w:rsid w:val="00446856"/>
    <w:rsid w:val="00457E21"/>
    <w:rsid w:val="004624A8"/>
    <w:rsid w:val="00471CAD"/>
    <w:rsid w:val="00480056"/>
    <w:rsid w:val="00496A98"/>
    <w:rsid w:val="004A4A41"/>
    <w:rsid w:val="004C3B79"/>
    <w:rsid w:val="004D14E8"/>
    <w:rsid w:val="004D266A"/>
    <w:rsid w:val="00582798"/>
    <w:rsid w:val="005A61C3"/>
    <w:rsid w:val="005D3F36"/>
    <w:rsid w:val="005D43A4"/>
    <w:rsid w:val="005F7A9C"/>
    <w:rsid w:val="00604A75"/>
    <w:rsid w:val="0061293F"/>
    <w:rsid w:val="0063468B"/>
    <w:rsid w:val="006360C7"/>
    <w:rsid w:val="006522B6"/>
    <w:rsid w:val="00662622"/>
    <w:rsid w:val="00683630"/>
    <w:rsid w:val="00691019"/>
    <w:rsid w:val="00692C42"/>
    <w:rsid w:val="00694509"/>
    <w:rsid w:val="006B2F1C"/>
    <w:rsid w:val="006B6652"/>
    <w:rsid w:val="006C31B7"/>
    <w:rsid w:val="00724857"/>
    <w:rsid w:val="007414CD"/>
    <w:rsid w:val="007E02AC"/>
    <w:rsid w:val="007F1C22"/>
    <w:rsid w:val="00807EED"/>
    <w:rsid w:val="00873638"/>
    <w:rsid w:val="00885250"/>
    <w:rsid w:val="00886C67"/>
    <w:rsid w:val="008A664B"/>
    <w:rsid w:val="008D2413"/>
    <w:rsid w:val="008E56A8"/>
    <w:rsid w:val="0097333D"/>
    <w:rsid w:val="009D1557"/>
    <w:rsid w:val="00A05B0B"/>
    <w:rsid w:val="00A255A7"/>
    <w:rsid w:val="00A47B76"/>
    <w:rsid w:val="00A7020F"/>
    <w:rsid w:val="00AB3CDC"/>
    <w:rsid w:val="00AC61B0"/>
    <w:rsid w:val="00B32F5E"/>
    <w:rsid w:val="00B37DD3"/>
    <w:rsid w:val="00B7135B"/>
    <w:rsid w:val="00B801AC"/>
    <w:rsid w:val="00B83269"/>
    <w:rsid w:val="00B8495D"/>
    <w:rsid w:val="00BA4D66"/>
    <w:rsid w:val="00BC6D02"/>
    <w:rsid w:val="00C0181E"/>
    <w:rsid w:val="00C043BE"/>
    <w:rsid w:val="00C25AD5"/>
    <w:rsid w:val="00C27A03"/>
    <w:rsid w:val="00C34D58"/>
    <w:rsid w:val="00C42A2F"/>
    <w:rsid w:val="00D43C86"/>
    <w:rsid w:val="00DB201C"/>
    <w:rsid w:val="00E00EEC"/>
    <w:rsid w:val="00E074B0"/>
    <w:rsid w:val="00E23468"/>
    <w:rsid w:val="00E35BB8"/>
    <w:rsid w:val="00E42EA3"/>
    <w:rsid w:val="00E50D21"/>
    <w:rsid w:val="00EC18B9"/>
    <w:rsid w:val="00EC7476"/>
    <w:rsid w:val="00EE5855"/>
    <w:rsid w:val="00EF3DB1"/>
    <w:rsid w:val="00EF4786"/>
    <w:rsid w:val="00F07D29"/>
    <w:rsid w:val="00F1276D"/>
    <w:rsid w:val="00F40454"/>
    <w:rsid w:val="00F422D1"/>
    <w:rsid w:val="00F43BF0"/>
    <w:rsid w:val="00F451D4"/>
    <w:rsid w:val="00F60EE4"/>
    <w:rsid w:val="00F66126"/>
    <w:rsid w:val="00F857F3"/>
    <w:rsid w:val="00FA2074"/>
    <w:rsid w:val="00FB2035"/>
    <w:rsid w:val="00FE59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64E3"/>
  <w15:chartTrackingRefBased/>
  <w15:docId w15:val="{63EA1E1D-DDE1-4FCB-9FEF-8F1319A2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D43A4"/>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5D43A4"/>
    <w:rPr>
      <w:rFonts w:eastAsiaTheme="minorEastAsia"/>
      <w:sz w:val="24"/>
      <w:szCs w:val="24"/>
      <w:lang w:val="en-US"/>
    </w:rPr>
  </w:style>
  <w:style w:type="character" w:styleId="FootnoteReference">
    <w:name w:val="footnote reference"/>
    <w:basedOn w:val="DefaultParagraphFont"/>
    <w:uiPriority w:val="99"/>
    <w:unhideWhenUsed/>
    <w:rsid w:val="005D43A4"/>
    <w:rPr>
      <w:vertAlign w:val="superscript"/>
    </w:rPr>
  </w:style>
  <w:style w:type="character" w:styleId="Hyperlink">
    <w:name w:val="Hyperlink"/>
    <w:basedOn w:val="DefaultParagraphFont"/>
    <w:uiPriority w:val="99"/>
    <w:unhideWhenUsed/>
    <w:rsid w:val="005D43A4"/>
    <w:rPr>
      <w:color w:val="0000FF"/>
      <w:u w:val="single"/>
    </w:rPr>
  </w:style>
  <w:style w:type="paragraph" w:styleId="ListParagraph">
    <w:name w:val="List Paragraph"/>
    <w:basedOn w:val="Normal"/>
    <w:uiPriority w:val="34"/>
    <w:qFormat/>
    <w:rsid w:val="005D43A4"/>
    <w:pPr>
      <w:ind w:left="720"/>
      <w:contextualSpacing/>
    </w:pPr>
  </w:style>
  <w:style w:type="paragraph" w:styleId="Header">
    <w:name w:val="header"/>
    <w:basedOn w:val="Normal"/>
    <w:link w:val="HeaderChar"/>
    <w:uiPriority w:val="99"/>
    <w:unhideWhenUsed/>
    <w:rsid w:val="004A4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A41"/>
  </w:style>
  <w:style w:type="paragraph" w:styleId="Footer">
    <w:name w:val="footer"/>
    <w:basedOn w:val="Normal"/>
    <w:link w:val="FooterChar"/>
    <w:uiPriority w:val="99"/>
    <w:unhideWhenUsed/>
    <w:rsid w:val="004A4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A41"/>
  </w:style>
  <w:style w:type="character" w:styleId="CommentReference">
    <w:name w:val="annotation reference"/>
    <w:basedOn w:val="DefaultParagraphFont"/>
    <w:uiPriority w:val="99"/>
    <w:semiHidden/>
    <w:unhideWhenUsed/>
    <w:rsid w:val="00424DDD"/>
    <w:rPr>
      <w:sz w:val="16"/>
      <w:szCs w:val="16"/>
    </w:rPr>
  </w:style>
  <w:style w:type="paragraph" w:styleId="CommentText">
    <w:name w:val="annotation text"/>
    <w:basedOn w:val="Normal"/>
    <w:link w:val="CommentTextChar"/>
    <w:uiPriority w:val="99"/>
    <w:semiHidden/>
    <w:unhideWhenUsed/>
    <w:rsid w:val="00424DDD"/>
    <w:pPr>
      <w:spacing w:line="240" w:lineRule="auto"/>
    </w:pPr>
    <w:rPr>
      <w:sz w:val="20"/>
      <w:szCs w:val="20"/>
    </w:rPr>
  </w:style>
  <w:style w:type="character" w:customStyle="1" w:styleId="CommentTextChar">
    <w:name w:val="Comment Text Char"/>
    <w:basedOn w:val="DefaultParagraphFont"/>
    <w:link w:val="CommentText"/>
    <w:uiPriority w:val="99"/>
    <w:semiHidden/>
    <w:rsid w:val="00424DDD"/>
    <w:rPr>
      <w:sz w:val="20"/>
      <w:szCs w:val="20"/>
    </w:rPr>
  </w:style>
  <w:style w:type="paragraph" w:styleId="CommentSubject">
    <w:name w:val="annotation subject"/>
    <w:basedOn w:val="CommentText"/>
    <w:next w:val="CommentText"/>
    <w:link w:val="CommentSubjectChar"/>
    <w:uiPriority w:val="99"/>
    <w:semiHidden/>
    <w:unhideWhenUsed/>
    <w:rsid w:val="00424DDD"/>
    <w:rPr>
      <w:b/>
      <w:bCs/>
    </w:rPr>
  </w:style>
  <w:style w:type="character" w:customStyle="1" w:styleId="CommentSubjectChar">
    <w:name w:val="Comment Subject Char"/>
    <w:basedOn w:val="CommentTextChar"/>
    <w:link w:val="CommentSubject"/>
    <w:uiPriority w:val="99"/>
    <w:semiHidden/>
    <w:rsid w:val="00424DDD"/>
    <w:rPr>
      <w:b/>
      <w:bCs/>
      <w:sz w:val="20"/>
      <w:szCs w:val="20"/>
    </w:rPr>
  </w:style>
  <w:style w:type="paragraph" w:styleId="BalloonText">
    <w:name w:val="Balloon Text"/>
    <w:basedOn w:val="Normal"/>
    <w:link w:val="BalloonTextChar"/>
    <w:uiPriority w:val="99"/>
    <w:semiHidden/>
    <w:unhideWhenUsed/>
    <w:rsid w:val="00424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06513">
      <w:bodyDiv w:val="1"/>
      <w:marLeft w:val="0"/>
      <w:marRight w:val="0"/>
      <w:marTop w:val="0"/>
      <w:marBottom w:val="0"/>
      <w:divBdr>
        <w:top w:val="none" w:sz="0" w:space="0" w:color="auto"/>
        <w:left w:val="none" w:sz="0" w:space="0" w:color="auto"/>
        <w:bottom w:val="none" w:sz="0" w:space="0" w:color="auto"/>
        <w:right w:val="none" w:sz="0" w:space="0" w:color="auto"/>
      </w:divBdr>
    </w:div>
    <w:div w:id="1506628699">
      <w:bodyDiv w:val="1"/>
      <w:marLeft w:val="0"/>
      <w:marRight w:val="0"/>
      <w:marTop w:val="0"/>
      <w:marBottom w:val="0"/>
      <w:divBdr>
        <w:top w:val="none" w:sz="0" w:space="0" w:color="auto"/>
        <w:left w:val="none" w:sz="0" w:space="0" w:color="auto"/>
        <w:bottom w:val="none" w:sz="0" w:space="0" w:color="auto"/>
        <w:right w:val="none" w:sz="0" w:space="0" w:color="auto"/>
      </w:divBdr>
    </w:div>
    <w:div w:id="1952056356">
      <w:bodyDiv w:val="1"/>
      <w:marLeft w:val="0"/>
      <w:marRight w:val="0"/>
      <w:marTop w:val="0"/>
      <w:marBottom w:val="0"/>
      <w:divBdr>
        <w:top w:val="none" w:sz="0" w:space="0" w:color="auto"/>
        <w:left w:val="none" w:sz="0" w:space="0" w:color="auto"/>
        <w:bottom w:val="none" w:sz="0" w:space="0" w:color="auto"/>
        <w:right w:val="none" w:sz="0" w:space="0" w:color="auto"/>
      </w:divBdr>
    </w:div>
    <w:div w:id="19898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assports.govt.nz/what-you-need-to-renew-or-apply-for-a-passport/information/" TargetMode="External"/><Relationship Id="rId2" Type="http://schemas.openxmlformats.org/officeDocument/2006/relationships/hyperlink" Target="https://nzta.govt.nz/driver-licences/renewing-replacing-and-updating/updating-your-licence/" TargetMode="External"/><Relationship Id="rId1" Type="http://schemas.openxmlformats.org/officeDocument/2006/relationships/hyperlink" Target="https://www.passports.govt.nz/what-you-need-to-renew-or-apply-for-a-passport/information/" TargetMode="External"/><Relationship Id="rId6" Type="http://schemas.openxmlformats.org/officeDocument/2006/relationships/hyperlink" Target="http://www.asia-pacific.undp.org/content/rbap/en/home/library/democratic_governance/hiv_aids/legal-gender-recognition--a-multi-country-legal-and-policy-revie.html" TargetMode="External"/><Relationship Id="rId5" Type="http://schemas.openxmlformats.org/officeDocument/2006/relationships/hyperlink" Target="https://www.vfgh.gv.at/medien/Civil_register_-_Intersex_persons.en.php" TargetMode="External"/><Relationship Id="rId4" Type="http://schemas.openxmlformats.org/officeDocument/2006/relationships/hyperlink" Target="http://www.corteidh.or.cr/docs/opiniones/seriea_24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7F74686-3480-4483-BA7D-4674CB46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Byrne</dc:creator>
  <cp:keywords/>
  <dc:description/>
  <cp:lastModifiedBy>Jack Byrne</cp:lastModifiedBy>
  <cp:revision>86</cp:revision>
  <cp:lastPrinted>2018-08-09T01:36:00Z</cp:lastPrinted>
  <dcterms:created xsi:type="dcterms:W3CDTF">2018-08-08T23:54:00Z</dcterms:created>
  <dcterms:modified xsi:type="dcterms:W3CDTF">2018-08-10T02:31:00Z</dcterms:modified>
</cp:coreProperties>
</file>